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40.jpeg" ContentType="image/jpeg"/>
  <Override PartName="/word/media/image37.jpeg" ContentType="image/jpeg"/>
  <Override PartName="/word/media/image14.jpeg" ContentType="image/jpeg"/>
  <Override PartName="/word/media/image13.jpeg" ContentType="image/jpeg"/>
  <Override PartName="/word/media/image12.jpeg" ContentType="image/jpeg"/>
  <Override PartName="/word/media/image11.jpeg" ContentType="image/jpeg"/>
  <Override PartName="/word/media/image10.jpeg" ContentType="image/jpeg"/>
  <Override PartName="/word/media/image16.jpeg" ContentType="image/jpeg"/>
  <Override PartName="/word/media/image15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9.jpeg" ContentType="image/jpeg"/>
  <Override PartName="/word/media/image8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1.jpeg" ContentType="image/jpeg"/>
  <Override PartName="/word/media/image23.jpeg" ContentType="image/jpeg"/>
  <Override PartName="/word/media/image2.jpeg" ContentType="image/jpeg"/>
  <Override PartName="/word/media/image24.jpeg" ContentType="image/jpeg"/>
  <Override PartName="/word/media/image3.jpeg" ContentType="image/jpeg"/>
  <Override PartName="/word/media/image25.jpeg" ContentType="image/jpeg"/>
  <Override PartName="/word/media/image4.jpeg" ContentType="image/jpeg"/>
  <Override PartName="/word/media/image26.jpeg" ContentType="image/jpeg"/>
  <Override PartName="/word/media/image5.jpeg" ContentType="image/jpeg"/>
  <Override PartName="/word/media/image27.jpeg" ContentType="image/jpeg"/>
  <Override PartName="/word/media/image6.jpeg" ContentType="image/jpeg"/>
  <Override PartName="/word/media/image28.jpeg" ContentType="image/jpeg"/>
  <Override PartName="/word/media/image7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8.jpeg" ContentType="image/jpeg"/>
  <Override PartName="/word/media/image32.jpeg" ContentType="image/jpeg"/>
  <Override PartName="/word/media/image39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bookmarkStart w:id="0" w:name="_GoBack"/>
      <w:bookmarkEnd w:id="0"/>
      <w:r>
        <w:rPr>
          <w:rFonts w:cs="Arial" w:ascii="Open Sans Light" w:hAnsi="Open Sans Light"/>
          <w:color w:val="404040"/>
          <w:spacing w:val="6"/>
        </w:rPr>
        <w:t>Легче. Быстрее. Мощнее.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1" name="Рисунок 1" descr="https://www.poettinger.at/img/landtechnik/noxum/landtechnik/saetechnik/terrasem%20classic/terrasem%20c6%20fertilizer%20classic/terrasem%20classic%20se%2005.2020/dng/terrasem_c6_fertilizer_classic_case__dsc3807-2_20200508_30x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www.poettinger.at/img/landtechnik/noxum/landtechnik/saetechnik/terrasem%20classic/terrasem%20c6%20fertilizer%20classic/terrasem%20classic%20se%2005.2020/dng/terrasem_c6_fertilizer_classic_case__dsc3807-2_20200508_30x20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новую серию TERRASEM CLASSIC компании PÖTTINGER входят легкие и высокопроизводительные машины для обработки больших площадей. Серия не оснащается передними рабочими органами и предназначена для предприятий, которые подготавливают посевное ложе отдельно, в ходе предварительных работ.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6096000" cy="4057650"/>
            <wp:effectExtent l="0" t="0" r="0" b="0"/>
            <wp:docPr id="2" name="Рисунок 2" descr="https://www.poettinger.at/img/landtechnik/noxum/landtechnik/saetechnik/terrasem%20classic/terrasem%20c6%20fertilizer%20classic/einsatz%20schweden%2004.2020/dngs/terrasem_c6_fertilizer_classic_case_dsc_2731_20200415_sat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https://www.poettinger.at/img/landtechnik/noxum/landtechnik/saetechnik/terrasem%20classic/terrasem%20c6%20fertilizer%20classic/einsatz%20schweden%2004.2020/dngs/terrasem_c6_fertilizer_classic_case_dsc_2731_20200415_sat_ausschnitt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Перемежающийся метод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Промежуток времени для осушения почвы между подготовкой посевного ложа и высевом увеличивается за счет перемежающегося метода. Это предотвращает размазывание посевной борозды. Кроме того, предварительная обработка почвы улучшает механическую борьбу с сорняками.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Доказавший свою эффективность почвоуплотнитель еще перед сошником обеспечивает необходимое уплотнение почвы и создает идеальные условия для проращивания семян. Обратное уплотнение необходимо, т. к. чрезмерно взрыхленная почва должна снова сцепиться с влажным подпочвенным горизонтом, чтобы обеспечить капиллярный подъем воды и создать необходимую влажность для прорастания семян.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3" name="Рисунок 3" descr="https://www.poettinger.at/img/landtechnik/noxum/landtechnik/saetechnik/terrasem%20classic/terrasem%20c6%20fertilizer%20classic/terrasem%20classic%20se%2005.2020/dng/terrasem_c6_fertilizer_classic_case__dsc3795_20200508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www.poettinger.at/img/landtechnik/noxum/landtechnik/saetechnik/terrasem%20classic/terrasem%20c6%20fertilizer%20classic/terrasem%20classic%20se%2005.2020/dng/terrasem_c6_fertilizer_classic_case__dsc3795_20200508_ausschnitt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Производительность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 вместительности бункера для семян до 5100 литров (опция) и повышенной скорости движения можно оптимально использовать временной период посева.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4" name="Рисунок 4" descr="https://www.poettinger.at/img/landtechnik/noxum/landtechnik/saetechnik/terrasem%20c8%20fertilizer/vorgewende_terrasem%20c6%20fertilizer_au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https://www.poettinger.at/img/landtechnik/noxum/landtechnik/saetechnik/terrasem%20c8%20fertilizer/vorgewende_terrasem%20c6%20fertilizer_ausschnitt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Бережная обработка почвы на краю поля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 практике сеялки по мульче TERRASEM находят много приверженцев благодаря своей универсальности и высокой маневренности.</w:t>
      </w:r>
    </w:p>
    <w:p>
      <w:pPr>
        <w:pStyle w:val="NormalWeb"/>
        <w:numPr>
          <w:ilvl w:val="0"/>
          <w:numId w:val="2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Широкие шины обеспечивают идеальное уплотнение почвы перед посевом.</w:t>
      </w:r>
    </w:p>
    <w:p>
      <w:pPr>
        <w:pStyle w:val="NormalWeb"/>
        <w:numPr>
          <w:ilvl w:val="0"/>
          <w:numId w:val="2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 разворотах вес машины переносится на все колеса.</w:t>
      </w:r>
    </w:p>
    <w:p>
      <w:pPr>
        <w:pStyle w:val="NormalWeb"/>
        <w:numPr>
          <w:ilvl w:val="0"/>
          <w:numId w:val="21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Каждое колесо уплотнителя имеет отдельную подшипниковую опору — таким образом, предотвращается размазывание почвы при поворотах.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5" name="Рисунок 5" descr="https://www.poettinger.at/img/landtechnik/noxum/landtechnik/saetechnik/terrasem%20classic/terrasem%20c6%20fertilizer%20classic/terrasem%20classic%20se%2005.2020/terrasem_c6_fertilizer_classic_case__dsc3712_20200508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www.poettinger.at/img/landtechnik/noxum/landtechnik/saetechnik/terrasem%20classic/terrasem%20c6%20fertilizer%20classic/terrasem%20classic%20se%2005.2020/terrasem_c6_fertilizer_classic_case__dsc3712_20200508_ausschnitt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Универсальность благодаря низкой требуемой силе тяги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Серия TERRASEM CLASSIC отличается легкой конструкцией и не требует большой силы тяги. Для высева можно использовать трактора малой мощности — следовательно, нет необходимости в дополнительной технике. Большие трактора можно одновременно применять для тяжелой почвообработки.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Посев на пашне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6" name="Рисунок 6" descr="https://www.poettinger.at/img/landtechnik/noxum/landtechnik/saetechnik/terrasem%20classic/terrasem%20c6%20fertilizer%20classic/terrasem%20classic%20se%2005.2020/dng/terrasem_c6_fertilizer_classic_case__dsc3803_20200508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s://www.poettinger.at/img/landtechnik/noxum/landtechnik/saetechnik/terrasem%20classic/terrasem%20c6%20fertilizer%20classic/terrasem%20classic%20se%2005.2020/dng/terrasem_c6_fertilizer_classic_case__dsc3803_20200508_ausschnit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180" w:after="120"/>
        <w:rPr>
          <w:rFonts w:ascii="Open Sans Light" w:hAnsi="Open Sans Light" w:cs="Arial"/>
          <w:color w:val="404040"/>
          <w:spacing w:val="6"/>
          <w:sz w:val="30"/>
          <w:szCs w:val="30"/>
        </w:rPr>
      </w:pPr>
      <w:r>
        <w:rPr>
          <w:rFonts w:cs="Arial" w:ascii="Open Sans Light" w:hAnsi="Open Sans Light"/>
          <w:color w:val="404040"/>
          <w:spacing w:val="6"/>
          <w:sz w:val="30"/>
          <w:szCs w:val="30"/>
        </w:rPr>
        <w:t>Посев на пашне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Серия TERRASEM CLASSIC за счет высокого давления сошников, предлагаемой в качестве опции фронтальной балки и внесения удобрений, способна выполнять посев на поверхностях как с минимальной, так с обычной обработкой. Производительность высева можно повысить за счет увеличения рабочей ширины при неизменной мощности трактора.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7" name="Рисунок 7" descr="https://www.poettinger.at/img/landtechnik/noxum/landtechnik/saetechnik/terrasem%20classic/terrasem%20c6%20fertilizer%20classic/terrasem%20classic%20se%2005.2020/dng/terrasem_c6_fertilizer_classic_case__dsc3792_20200508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https://www.poettinger.at/img/landtechnik/noxum/landtechnik/saetechnik/terrasem%20classic/terrasem%20c6%20fertilizer%20classic/terrasem%20classic%20se%2005.2020/dng/terrasem_c6_fertilizer_classic_case__dsc3792_20200508_ausschnit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Фронтальная балка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Фронтальная балка, предлагаемая в качестве опции, оптимально выравнивает почву.</w:t>
      </w:r>
    </w:p>
    <w:p>
      <w:pPr>
        <w:pStyle w:val="NormalWeb"/>
        <w:numPr>
          <w:ilvl w:val="0"/>
          <w:numId w:val="2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Дополнительное выравнивание с помощью фронтальной балки перед почвоуплотнителем делает возможным работу по пашне.</w:t>
      </w:r>
    </w:p>
    <w:p>
      <w:pPr>
        <w:pStyle w:val="NormalWeb"/>
        <w:numPr>
          <w:ilvl w:val="0"/>
          <w:numId w:val="2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Оптимальная адаптация к различным условиям применения за счет гидравлической регулировки глубины.</w:t>
      </w:r>
    </w:p>
    <w:p>
      <w:pPr>
        <w:pStyle w:val="NormalWeb"/>
        <w:numPr>
          <w:ilvl w:val="0"/>
          <w:numId w:val="2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Комья земли размалываются и измельчаются.</w:t>
      </w:r>
    </w:p>
    <w:p>
      <w:pPr>
        <w:pStyle w:val="NormalWeb"/>
        <w:numPr>
          <w:ilvl w:val="0"/>
          <w:numId w:val="22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Поверхность выравнивается.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8" name="Рисунок 8" descr="https://www.poettinger.at/img/landtechnik/noxum/landtechnik/saetechnik/terrasem%20classic/terrasem%20c6%20fertilizer%20classic/terrasem%20classic%20se%2005.2020/dng/terrasem_c6_fertilizer_classic_case__dsc3575_20200508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https://www.poettinger.at/img/landtechnik/noxum/landtechnik/saetechnik/terrasem%20classic/terrasem%20c6%20fertilizer%20classic/terrasem%20classic%20se%2005.2020/dng/terrasem_c6_fertilizer_classic_case__dsc3575_20200508_ausschnit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Подпружиненный следорыхлитель для наилучшего результата работы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Прекрасная опция для разбивания и разрыхления твердой уплотненной почвы за колесами трактора.</w:t>
      </w:r>
    </w:p>
    <w:p>
      <w:pPr>
        <w:pStyle w:val="NormalWeb"/>
        <w:numPr>
          <w:ilvl w:val="0"/>
          <w:numId w:val="23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 сменный наконечник в области зоны износа нанесен слой твердого сплава.</w:t>
      </w:r>
    </w:p>
    <w:p>
      <w:pPr>
        <w:pStyle w:val="NormalWeb"/>
        <w:numPr>
          <w:ilvl w:val="0"/>
          <w:numId w:val="23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Каждый следорыхлитель оснащен пружиной для предохранения от перегрузки.</w:t>
      </w:r>
    </w:p>
    <w:p>
      <w:pPr>
        <w:pStyle w:val="NormalWeb"/>
        <w:numPr>
          <w:ilvl w:val="0"/>
          <w:numId w:val="23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Рабочая глубина разрыхляющей граблины легко настраивается.</w:t>
      </w:r>
    </w:p>
    <w:p>
      <w:pPr>
        <w:pStyle w:val="NormalWeb"/>
        <w:numPr>
          <w:ilvl w:val="0"/>
          <w:numId w:val="23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Длительный срок службы благодаря твердому сплаву на сменных наконечниках.</w:t>
      </w:r>
    </w:p>
    <w:p>
      <w:pPr>
        <w:pStyle w:val="NormalWeb"/>
        <w:numPr>
          <w:ilvl w:val="0"/>
          <w:numId w:val="23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3 варианта с 1, 2 или 3 дисками на каждый след.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9" name="Рисунок 9" descr="https://www.poettinger.at/img/landtechnik/noxum/landtechnik/saetechnik/_ausstattungen/terrasem%20details/terrasem_nivellierschiene1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https://www.poettinger.at/img/landtechnik/noxum/landtechnik/saetechnik/_ausstattungen/terrasem%20details/terrasem_nivellierschiene1_ausschnit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Нивелирная балка на высевающей секции</w:t>
      </w:r>
    </w:p>
    <w:p>
      <w:pPr>
        <w:pStyle w:val="NormalWeb"/>
        <w:numPr>
          <w:ilvl w:val="0"/>
          <w:numId w:val="2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Выравнивает валки между шинами при работе на легких и песчаных почвах.</w:t>
      </w:r>
    </w:p>
    <w:p>
      <w:pPr>
        <w:pStyle w:val="NormalWeb"/>
        <w:numPr>
          <w:ilvl w:val="0"/>
          <w:numId w:val="2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Угол наклона и высота грабли настраивается индивидуально.</w:t>
      </w:r>
    </w:p>
    <w:p>
      <w:pPr>
        <w:pStyle w:val="NormalWeb"/>
        <w:numPr>
          <w:ilvl w:val="0"/>
          <w:numId w:val="2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Настройка без применения инструментов.</w:t>
      </w:r>
    </w:p>
    <w:p>
      <w:pPr>
        <w:pStyle w:val="NormalWeb"/>
        <w:numPr>
          <w:ilvl w:val="0"/>
          <w:numId w:val="2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Устойчива против попадания камней и пожнивных остатков: каждая граблина подпружинена отдельно.</w:t>
      </w:r>
    </w:p>
    <w:p>
      <w:pPr>
        <w:pStyle w:val="NormalWeb"/>
        <w:numPr>
          <w:ilvl w:val="0"/>
          <w:numId w:val="24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Поднимается при развороте на краю поля и при транспортировке.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Экспертиза сошников для идеальной посевной борозды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Успешный посев требует хорошо отрегулированных по отношению друг к другу компонентов сеялки для формирования борозды, внесения и заделки семян. Аккуратная борозда — залог богатого урожая.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10" name="Рисунок 49" descr="Экспертиза сош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49" descr="Экспертиза сошников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404040"/>
          <w:spacing w:val="6"/>
          <w:sz w:val="23"/>
          <w:szCs w:val="23"/>
        </w:rPr>
        <w:br/>
        <w:t>Экспертиза сошников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Numberboxgreen"/>
          <w:rFonts w:eastAsia="" w:cs="Arial" w:ascii="Arial" w:hAnsi="Arial" w:eastAsiaTheme="majorEastAsia"/>
          <w:color w:val="404040"/>
          <w:spacing w:val="6"/>
          <w:sz w:val="18"/>
          <w:szCs w:val="18"/>
        </w:rPr>
        <w:t>1</w:t>
      </w:r>
      <w:r>
        <w:rPr>
          <w:rFonts w:cs="Arial" w:ascii="Arial" w:hAnsi="Arial"/>
          <w:color w:val="404040"/>
          <w:spacing w:val="6"/>
          <w:sz w:val="23"/>
          <w:szCs w:val="23"/>
        </w:rPr>
        <w:t> Равномерное давление на сошник до 120 кг.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Numberboxgreen"/>
          <w:rFonts w:eastAsia="" w:cs="Arial" w:ascii="Arial" w:hAnsi="Arial" w:eastAsiaTheme="majorEastAsia"/>
          <w:color w:val="404040"/>
          <w:spacing w:val="6"/>
          <w:sz w:val="18"/>
          <w:szCs w:val="18"/>
        </w:rPr>
        <w:t>2</w:t>
      </w:r>
      <w:r>
        <w:rPr>
          <w:rFonts w:cs="Arial" w:ascii="Arial" w:hAnsi="Arial"/>
          <w:color w:val="404040"/>
          <w:spacing w:val="6"/>
          <w:sz w:val="23"/>
          <w:szCs w:val="23"/>
        </w:rPr>
        <w:t> Параллелограммное ведение для точной глубины заделки.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Numberboxgreen"/>
          <w:rFonts w:eastAsia="" w:cs="Arial" w:ascii="Arial" w:hAnsi="Arial" w:eastAsiaTheme="majorEastAsia"/>
          <w:color w:val="404040"/>
          <w:spacing w:val="6"/>
          <w:sz w:val="18"/>
          <w:szCs w:val="18"/>
        </w:rPr>
        <w:t>3</w:t>
      </w:r>
      <w:r>
        <w:rPr>
          <w:rFonts w:cs="Arial" w:ascii="Arial" w:hAnsi="Arial"/>
          <w:color w:val="404040"/>
          <w:spacing w:val="6"/>
          <w:sz w:val="23"/>
          <w:szCs w:val="23"/>
        </w:rPr>
        <w:t> Равномерное давление на сошник за счет равной длины поводка сошников.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Numberboxgreen"/>
          <w:rFonts w:eastAsia="" w:cs="Arial" w:ascii="Arial" w:hAnsi="Arial" w:eastAsiaTheme="majorEastAsia"/>
          <w:color w:val="404040"/>
          <w:spacing w:val="6"/>
          <w:sz w:val="18"/>
          <w:szCs w:val="18"/>
        </w:rPr>
        <w:t>4</w:t>
      </w:r>
      <w:r>
        <w:rPr>
          <w:rFonts w:cs="Arial" w:ascii="Arial" w:hAnsi="Arial"/>
          <w:color w:val="404040"/>
          <w:spacing w:val="6"/>
          <w:sz w:val="23"/>
          <w:szCs w:val="23"/>
        </w:rPr>
        <w:t> Шаг сошника 320 мм для работы без забивания.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Numberboxgreen"/>
          <w:rFonts w:eastAsia="" w:cs="Arial" w:ascii="Arial" w:hAnsi="Arial" w:eastAsiaTheme="majorEastAsia"/>
          <w:color w:val="404040"/>
          <w:spacing w:val="6"/>
          <w:sz w:val="18"/>
          <w:szCs w:val="18"/>
        </w:rPr>
        <w:t>5</w:t>
      </w:r>
      <w:r>
        <w:rPr>
          <w:rFonts w:cs="Arial" w:ascii="Arial" w:hAnsi="Arial"/>
          <w:color w:val="404040"/>
          <w:spacing w:val="6"/>
          <w:sz w:val="23"/>
          <w:szCs w:val="23"/>
        </w:rPr>
        <w:t> Точное ведение по глубине и уплотнение.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2"/>
        <w:spacing w:before="180" w:after="120"/>
        <w:rPr>
          <w:rFonts w:ascii="Open Sans Light" w:hAnsi="Open Sans Light" w:cs="Arial"/>
          <w:color w:val="404040"/>
          <w:spacing w:val="6"/>
          <w:sz w:val="30"/>
          <w:szCs w:val="30"/>
        </w:rPr>
      </w:pPr>
      <w:r>
        <w:rPr>
          <w:rFonts w:cs="Arial" w:ascii="Open Sans Light" w:hAnsi="Open Sans Light"/>
          <w:color w:val="404040"/>
          <w:spacing w:val="6"/>
          <w:sz w:val="30"/>
          <w:szCs w:val="30"/>
        </w:rPr>
        <w:t>Посевной материал</w:t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Двухдисковые сошники DUAL DISC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Большие двухдисковые сошники DUAL DISC диаметром 380 мм разрезают пожнивные остатки и формируют аккуратные ровные борозды.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Благодаря шахматному расположению высевающих дисков пожнивные остатки надежно разрезаются даже при высокой скорости движения.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11" name="Рисунок 48" descr="Двухдисковые сошники DUAL DIS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8" descr="Двухдисковые сошники DUAL DIS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404040"/>
          <w:spacing w:val="6"/>
          <w:sz w:val="23"/>
          <w:szCs w:val="23"/>
        </w:rPr>
        <w:br/>
        <w:t>Двухдисковые сошники DUAL DISC</w:t>
      </w:r>
    </w:p>
    <w:p>
      <w:pPr>
        <w:pStyle w:val="NormalWeb"/>
        <w:numPr>
          <w:ilvl w:val="0"/>
          <w:numId w:val="2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Точная заделка семян в аккуратно подготовленную посевную борозду</w:t>
      </w:r>
    </w:p>
    <w:p>
      <w:pPr>
        <w:pStyle w:val="NormalWeb"/>
        <w:numPr>
          <w:ilvl w:val="0"/>
          <w:numId w:val="2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Шаг сошника в 320 мм обеспечивает большую проходимость для бесперебойного движения посевного материала даже при большом количестве пожнивных остатков.</w:t>
      </w:r>
    </w:p>
    <w:p>
      <w:pPr>
        <w:pStyle w:val="NormalWeb"/>
        <w:numPr>
          <w:ilvl w:val="0"/>
          <w:numId w:val="2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Шахматное расположение высеивающих дисков гарантирует надежное формирование посевных борозд.</w:t>
      </w:r>
    </w:p>
    <w:p>
      <w:pPr>
        <w:pStyle w:val="NormalWeb"/>
        <w:numPr>
          <w:ilvl w:val="0"/>
          <w:numId w:val="2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Бесступенчатая настройка давления сошников от 40 до 120 кг</w:t>
      </w:r>
    </w:p>
    <w:p>
      <w:pPr>
        <w:pStyle w:val="NormalWeb"/>
        <w:numPr>
          <w:ilvl w:val="0"/>
          <w:numId w:val="2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Расстояние между рядами от 12,5 см для оптимального использования почвы (опционально — 16,7 см)</w:t>
      </w:r>
    </w:p>
    <w:p>
      <w:pPr>
        <w:pStyle w:val="NormalWeb"/>
        <w:numPr>
          <w:ilvl w:val="0"/>
          <w:numId w:val="2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Рычаги параллелограммного механизма имеют одинаковую длину, что обеспечивает одинаковое давление сошника на каждом высевающем элементе.</w:t>
      </w:r>
    </w:p>
    <w:p>
      <w:pPr>
        <w:pStyle w:val="NormalWeb"/>
        <w:numPr>
          <w:ilvl w:val="0"/>
          <w:numId w:val="25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Центральная настройка рабочей глубины осуществляется очень легко: за счет регулировки высевающей балки при помощи встроенного рычага.</w:t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Прикатывающие ролики для равномерной глубины заделки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Каждый сошник навешен через параллелограмм и, таким образом, хорошо копирует неровности поля, даже при высокой скорости работы.</w:t>
      </w:r>
    </w:p>
    <w:p>
      <w:pPr>
        <w:pStyle w:val="NormalWeb"/>
        <w:numPr>
          <w:ilvl w:val="0"/>
          <w:numId w:val="2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Для достижения точной и равномерной глубины заделки все сошники контролируются прикатывающими роликами.</w:t>
      </w:r>
    </w:p>
    <w:p>
      <w:pPr>
        <w:pStyle w:val="NormalWeb"/>
        <w:numPr>
          <w:ilvl w:val="0"/>
          <w:numId w:val="26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Прикатывающие ролики служат не только для контроля глубины заделки, но и для точного обратного прикатывания и придавливания посевного материала.</w:t>
      </w:r>
    </w:p>
    <w:p>
      <w:pPr>
        <w:pStyle w:val="2"/>
        <w:spacing w:before="180" w:after="120"/>
        <w:rPr>
          <w:rFonts w:ascii="Open Sans Light" w:hAnsi="Open Sans Light" w:cs="Arial"/>
          <w:color w:val="404040"/>
          <w:spacing w:val="6"/>
          <w:sz w:val="30"/>
          <w:szCs w:val="30"/>
        </w:rPr>
      </w:pPr>
      <w:r>
        <w:rPr>
          <w:rFonts w:cs="Arial" w:ascii="Open Sans Light" w:hAnsi="Open Sans Light"/>
          <w:color w:val="404040"/>
          <w:spacing w:val="6"/>
          <w:sz w:val="30"/>
          <w:szCs w:val="30"/>
        </w:rPr>
        <w:t>Удобрение или второй посевной материал</w:t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Сошники FERTILIZER PRO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 моделях TERRASEM FERTILIZER внесение удобрения осуществляется при помощи однодисковых туковых сошников PRO. После дисковой бороны сошник вносит удобрение между двумя посевными рядами одного высевающего элемента (Midrow banding — формирование среднего ряда).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12" name="Рисунок 47" descr="Сошники FERTILIZER P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47" descr="Сошники FERTILIZER PRO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404040"/>
          <w:spacing w:val="6"/>
          <w:sz w:val="23"/>
          <w:szCs w:val="23"/>
        </w:rPr>
        <w:br/>
        <w:t>Сошники FERTILIZER PRO</w:t>
      </w:r>
    </w:p>
    <w:p>
      <w:pPr>
        <w:pStyle w:val="NormalWeb"/>
        <w:numPr>
          <w:ilvl w:val="0"/>
          <w:numId w:val="2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Однодисковые сошники PRO вносят удобрения между рядами семян в область формирования корневой системы; широкие резиновые элементы на раме трубы обеспечивают точное соблюдение расстояния между рядами без бокового уклонения.</w:t>
      </w:r>
    </w:p>
    <w:p>
      <w:pPr>
        <w:pStyle w:val="NormalWeb"/>
        <w:numPr>
          <w:ilvl w:val="0"/>
          <w:numId w:val="2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Точное размещение удобрения и его экономный расход помогают сократить непроизводственные потери и способствуют сбору богатого урожая за счет быстрого формирования корневой системы.</w:t>
      </w:r>
    </w:p>
    <w:p>
      <w:pPr>
        <w:pStyle w:val="NormalWeb"/>
        <w:numPr>
          <w:ilvl w:val="0"/>
          <w:numId w:val="2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Настройка глубины заделки удобрений и семян происходит независимо друг от друга.</w:t>
      </w:r>
    </w:p>
    <w:p>
      <w:pPr>
        <w:pStyle w:val="NormalWeb"/>
        <w:numPr>
          <w:ilvl w:val="0"/>
          <w:numId w:val="27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 место, куда вносится удобрение, можно, заделывать и второй посевной материал.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Breites Einsatzspektrum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13" name="Рисунок 58" descr="https://www.poettinger.at/img/landtechnik/noxum/landtechnik/saetechnik/_ausstattungen/terrasem%20details/terrasem_2016-01/terrasem_dosierung_2-4271_au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58" descr="https://www.poettinger.at/img/landtechnik/noxum/landtechnik/saetechnik/_ausstattungen/terrasem%20details/terrasem_2016-01/terrasem_dosierung_2-4271_ausschnitt_0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Дозирование с высочайшей точностью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Система дозирования сеялок TERRASEM ориентирована на высочайшую точность и гарантирует точный посев для различных видов семян и при самых сложных рабочих условиях.</w:t>
      </w:r>
    </w:p>
    <w:p>
      <w:pPr>
        <w:pStyle w:val="NormalWeb"/>
        <w:numPr>
          <w:ilvl w:val="0"/>
          <w:numId w:val="28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 зависимости от количества посевного материала, высевающая катушка для стандартных семян может быть быстро и легко заменена на катушку для мелких семян.</w:t>
      </w:r>
    </w:p>
    <w:p>
      <w:pPr>
        <w:pStyle w:val="NormalWeb"/>
        <w:numPr>
          <w:ilvl w:val="0"/>
          <w:numId w:val="28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Электронный привод дозатора управляется сенсором-радаром или сигналом ISOBUS трактора.</w:t>
      </w:r>
    </w:p>
    <w:p>
      <w:pPr>
        <w:pStyle w:val="NormalWeb"/>
        <w:numPr>
          <w:ilvl w:val="0"/>
          <w:numId w:val="28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Возможная норма высева — от 0,6 до 350 кг; регулировку нормы высева можно быстро и удобно провести прямо с места оператора.</w:t>
      </w:r>
    </w:p>
    <w:p>
      <w:pPr>
        <w:pStyle w:val="NormalWeb"/>
        <w:numPr>
          <w:ilvl w:val="0"/>
          <w:numId w:val="28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Автоматическое управление высевающей катушкой с предварительным дозированием (серийно) обеспечивает непрерывную работу.</w:t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Бережное распределение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Большое количество воздуха и низкая скорость его циркуляции позволяют избежать повреждений и истирания протравленных семян. Точная дозирующая система и большие распределители обеспечивают равномерное внесение семян.</w:t>
      </w:r>
    </w:p>
    <w:p>
      <w:pPr>
        <w:pStyle w:val="NormalWeb"/>
        <w:numPr>
          <w:ilvl w:val="0"/>
          <w:numId w:val="29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Гарантия хорошего урожая и экономического успеха</w:t>
      </w:r>
    </w:p>
    <w:p>
      <w:pPr>
        <w:pStyle w:val="NormalWeb"/>
        <w:numPr>
          <w:ilvl w:val="0"/>
          <w:numId w:val="29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Благодаря специальным распределителям может быть установлена различная ширина рядов.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14" name="Рисунок 57" descr="https://www.poettinger.at/img/landtechnik/noxum/landtechnik/saetechnik/_ausstattungen/terrasem%20details/terrasem_2016-01/terrasem_ablassschieber-4275_au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57" descr="https://www.poettinger.at/img/landtechnik/noxum/landtechnik/saetechnik/_ausstattungen/terrasem%20details/terrasem_2016-01/terrasem_ablassschieber-4275_ausschnitt_02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Так просто еще не было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Компания PÖTTINGER уделяет большое внимание простоте управления. Провести пробу нормы высева очень легко.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Практичный мешок для сбора семян.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Клапан нормы высева контролируется датчиком.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Задвижка для выгрузки обеспечивает полную разгрузку семян из бункера.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Количество нормы высева автоматически уменьшается при включении технологической колеи.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Норма высева нажатием кнопки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Бесступенчатое регулирование нормы высева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Сменные дозирующие катушки с быстросрабатывающим затвором для всех типов семян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Измерение уровня наполнения бункера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Контроль вентилятора и дозирующего вала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Предварительное дозирование для своевременного запуска высева на поворотной полосе</w:t>
      </w:r>
    </w:p>
    <w:p>
      <w:pPr>
        <w:pStyle w:val="NormalWeb"/>
        <w:numPr>
          <w:ilvl w:val="0"/>
          <w:numId w:val="30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Библиотека посевных материалов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15" name="Рисунок 56" descr="https://www.poettinger.at/img/landtechnik/noxum/landtechnik/saetechnik/terrasem%20r3/terrasem_r3_ids%20offen_verlaengert_au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56" descr="https://www.poettinger.at/img/landtechnik/noxum/landtechnik/saetechnik/terrasem%20r3/terrasem_r3_ids%20offen_verlaengert_ausschnitt_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Контроль потока посевного материала для удобства и надежности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Чувствительность датчика может устанавливаться на трех уровнях в зависимости от типа посевного материала.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Непрерывная и надежная обратная связь с терминалом.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Strong"/>
          <w:rFonts w:eastAsia="" w:cs="Arial" w:ascii="Arial" w:hAnsi="Arial" w:eastAsiaTheme="majorEastAsia"/>
          <w:color w:val="404040"/>
          <w:spacing w:val="6"/>
          <w:sz w:val="23"/>
          <w:szCs w:val="23"/>
        </w:rPr>
        <w:t>Отображение состояния высевающих каналов через светодиоды прямо на датчике:</w:t>
      </w:r>
    </w:p>
    <w:p>
      <w:pPr>
        <w:pStyle w:val="NormalWeb"/>
        <w:numPr>
          <w:ilvl w:val="0"/>
          <w:numId w:val="3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ЗЕЛЕНЫЙ: датчик работает, канал в порядке.</w:t>
      </w:r>
    </w:p>
    <w:p>
      <w:pPr>
        <w:pStyle w:val="NormalWeb"/>
        <w:numPr>
          <w:ilvl w:val="0"/>
          <w:numId w:val="3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Мигающий КРАСНЫЙ: канал забит.</w:t>
      </w:r>
    </w:p>
    <w:p>
      <w:pPr>
        <w:pStyle w:val="NormalWeb"/>
        <w:numPr>
          <w:ilvl w:val="0"/>
          <w:numId w:val="31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Указание номера ряда на терминале управления</w:t>
      </w:r>
    </w:p>
    <w:p>
      <w:pPr>
        <w:pStyle w:val="2"/>
        <w:spacing w:before="180" w:after="120"/>
        <w:rPr>
          <w:rFonts w:ascii="Open Sans Light" w:hAnsi="Open Sans Light" w:cs="Arial"/>
          <w:color w:val="404040"/>
          <w:spacing w:val="6"/>
          <w:sz w:val="30"/>
          <w:szCs w:val="30"/>
        </w:rPr>
      </w:pPr>
      <w:r>
        <w:rPr>
          <w:rFonts w:cs="Arial" w:ascii="Open Sans Light" w:hAnsi="Open Sans Light"/>
          <w:color w:val="404040"/>
          <w:spacing w:val="6"/>
          <w:sz w:val="30"/>
          <w:szCs w:val="30"/>
        </w:rPr>
        <w:t>IDS — универсальность, которая окупается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Уникальная распределительная система IDS (INTELLIGENT DISTRIBUTION SYSTEM - "программируемая система распределения") контролирует все выходы при помощи системы BUS. Это открывает совершенно новые возможности переключения посевных рядов и технологической колеи. Идеальное решение для работы с сеялкой на нескольких предприятиях или МТС.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16" name="Рисунок 55" descr="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55" descr="IDS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404040"/>
          <w:spacing w:val="6"/>
          <w:sz w:val="23"/>
          <w:szCs w:val="23"/>
        </w:rPr>
        <w:br/>
        <w:t>IDS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Вы легко настраиваете технологическую колею на терминале управления — нет необходимости в перестановке шлангов.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Strong"/>
          <w:rFonts w:eastAsia="" w:cs="Arial" w:ascii="Arial" w:hAnsi="Arial" w:eastAsiaTheme="majorEastAsia"/>
          <w:color w:val="404040"/>
          <w:spacing w:val="6"/>
          <w:sz w:val="23"/>
          <w:szCs w:val="23"/>
        </w:rPr>
        <w:t>Возможность выбора следующих параметров:</w:t>
      </w:r>
    </w:p>
    <w:p>
      <w:pPr>
        <w:pStyle w:val="NormalWeb"/>
        <w:numPr>
          <w:ilvl w:val="0"/>
          <w:numId w:val="3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ширина технологической колеи;</w:t>
      </w:r>
    </w:p>
    <w:p>
      <w:pPr>
        <w:pStyle w:val="NormalWeb"/>
        <w:numPr>
          <w:ilvl w:val="0"/>
          <w:numId w:val="3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Ширина рабочей колеи</w:t>
      </w:r>
    </w:p>
    <w:p>
      <w:pPr>
        <w:pStyle w:val="NormalWeb"/>
        <w:numPr>
          <w:ilvl w:val="0"/>
          <w:numId w:val="3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Переключение специальной технологической колеи</w:t>
      </w:r>
    </w:p>
    <w:p>
      <w:pPr>
        <w:pStyle w:val="NormalWeb"/>
        <w:numPr>
          <w:ilvl w:val="0"/>
          <w:numId w:val="3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Система двойной технологической колеи</w:t>
      </w:r>
    </w:p>
    <w:p>
      <w:pPr>
        <w:pStyle w:val="NormalWeb"/>
        <w:numPr>
          <w:ilvl w:val="0"/>
          <w:numId w:val="3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Отключение половины сеялки слева и справа</w:t>
      </w:r>
    </w:p>
    <w:p>
      <w:pPr>
        <w:pStyle w:val="NormalWeb"/>
        <w:numPr>
          <w:ilvl w:val="0"/>
          <w:numId w:val="32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Свободный выбор ритма технологической колеи независимо от ширины машины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17" name="Рисунок 54" descr="IDS Распредел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54" descr="IDS Распределитель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404040"/>
          <w:spacing w:val="6"/>
          <w:sz w:val="23"/>
          <w:szCs w:val="23"/>
        </w:rPr>
        <w:br/>
        <w:t>IDS Распределитель</w:t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Продуманный центральный элемент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Благодаря постоянному количеству семян во всех рядах распределительная головка IDS обеспечивает равномерную динамику запасов.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Numberboxgreen"/>
          <w:rFonts w:eastAsia="" w:cs="Arial" w:ascii="Arial" w:hAnsi="Arial" w:eastAsiaTheme="majorEastAsia"/>
          <w:color w:val="404040"/>
          <w:spacing w:val="6"/>
          <w:sz w:val="18"/>
          <w:szCs w:val="18"/>
        </w:rPr>
        <w:t>1</w:t>
      </w:r>
      <w:r>
        <w:rPr>
          <w:rFonts w:cs="Arial" w:ascii="Arial" w:hAnsi="Arial"/>
          <w:color w:val="404040"/>
          <w:spacing w:val="6"/>
          <w:sz w:val="23"/>
          <w:szCs w:val="23"/>
        </w:rPr>
        <w:t> Напорная труба с воронкообразным кожухом через распределитель подает семена к выходным отверстиям.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Numberboxgreen"/>
          <w:rFonts w:eastAsia="" w:cs="Arial" w:ascii="Arial" w:hAnsi="Arial" w:eastAsiaTheme="majorEastAsia"/>
          <w:color w:val="404040"/>
          <w:spacing w:val="6"/>
          <w:sz w:val="18"/>
          <w:szCs w:val="18"/>
        </w:rPr>
        <w:t>2</w:t>
      </w:r>
      <w:r>
        <w:rPr>
          <w:rFonts w:cs="Arial" w:ascii="Arial" w:hAnsi="Arial"/>
          <w:color w:val="404040"/>
          <w:spacing w:val="6"/>
          <w:sz w:val="23"/>
          <w:szCs w:val="23"/>
        </w:rPr>
        <w:t> Обратная подача семян в напорную трубу осуществляется потоком воздуха через запатентованную воронку с управляемыми заслонками.</w:t>
      </w:r>
    </w:p>
    <w:p>
      <w:pPr>
        <w:pStyle w:val="NormalWeb"/>
        <w:numPr>
          <w:ilvl w:val="0"/>
          <w:numId w:val="33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 активном переключении технологической колеи норма высева автоматически снижается, что позволяет сэкономить до 6 % семян.</w:t>
      </w:r>
    </w:p>
    <w:p>
      <w:pPr>
        <w:pStyle w:val="NormalWeb"/>
        <w:numPr>
          <w:ilvl w:val="0"/>
          <w:numId w:val="33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Точное поперечное распределение даже при включенной технологической колее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18" name="Рисунок 53" descr="https://www.poettinger.at/img/landtechnik/noxum/landtechnik/saetechnik/_ausstattungen/terrasem%20details/terrasem%20ids%20verteilerkopfeinsatz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53" descr="https://www.poettinger.at/img/landtechnik/noxum/landtechnik/saetechnik/_ausstattungen/terrasem%20details/terrasem%20ids%20verteilerkopfeinsatz_ausschnit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Регулируемое расстояние между рядами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Регулируемое расстояние между рядами Стандартное расстояние между рядами составляет 12,5 см. Однако с помощью распределителей вы можете настроить расстояние между рядами по своему усмотрению.</w:t>
      </w:r>
    </w:p>
    <w:p>
      <w:pPr>
        <w:pStyle w:val="NormalWeb"/>
        <w:numPr>
          <w:ilvl w:val="0"/>
          <w:numId w:val="3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Применение при посеве пропашных культур</w:t>
      </w:r>
    </w:p>
    <w:p>
      <w:pPr>
        <w:pStyle w:val="NormalWeb"/>
        <w:numPr>
          <w:ilvl w:val="0"/>
          <w:numId w:val="3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зависимости от типа машины, можно установить расстояние между рядами 25 / 37,5 / 50 / 75 см.</w:t>
      </w:r>
    </w:p>
    <w:p>
      <w:pPr>
        <w:pStyle w:val="NormalWeb"/>
        <w:numPr>
          <w:ilvl w:val="0"/>
          <w:numId w:val="3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Универсальная машина для посева разных культур</w:t>
      </w:r>
    </w:p>
    <w:p>
      <w:pPr>
        <w:pStyle w:val="NormalWeb"/>
        <w:numPr>
          <w:ilvl w:val="0"/>
          <w:numId w:val="34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Менее продолжительное пребывание и меньшая степень повреждения семян в распределительной головке — гарантия способности к прорастанию при высеве бобовых.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19" name="Рисунок 52" descr="https://www.poettinger.at/img/landtechnik/noxum/landtechnik/saetechnik/_ausstattungen/terrasem%20details/fahrgassenschaltung_ids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52" descr="https://www.poettinger.at/img/landtechnik/noxum/landtechnik/saetechnik/_ausstattungen/terrasem%20details/fahrgassenschaltung_ids_ausschnit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Больше возможностей. Включение технологической колеи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зависимости от комплектации распределителя можно настроить симметричную, асимметричную технологическую колею или установить ее параметры по своему усмотрению.</w:t>
      </w:r>
    </w:p>
    <w:p>
      <w:pPr>
        <w:pStyle w:val="NormalWeb"/>
        <w:numPr>
          <w:ilvl w:val="0"/>
          <w:numId w:val="35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Полностью укомплектованный распределитель IDS оснащен управляемыми выходными отверстиями на всех посевных рядах. Можно свободно выбирать конфигурацию технологической колеи: от 2 до 6 отключаемых рядов на одну колею.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20" name="Рисунок 51" descr="https://www.poettinger.at/img/landtechnik/noxum/landtechnik/saetechnik/_ausstattungen/terrasem%20details/halbseitenschaltung_ids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51" descr="https://www.poettinger.at/img/landtechnik/noxum/landtechnik/saetechnik/_ausstattungen/terrasem%20details/halbseitenschaltung_ids_ausschnit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Включение половины сеялки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PÖTTINGER предлагает следующие возможности универсального применения при симметричных технологических колеях.</w:t>
      </w:r>
    </w:p>
    <w:p>
      <w:pPr>
        <w:pStyle w:val="NormalWeb"/>
        <w:numPr>
          <w:ilvl w:val="0"/>
          <w:numId w:val="3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Включение половины сеялки слева или справа при полностью оснащенной системе IDS.</w:t>
      </w:r>
    </w:p>
    <w:p>
      <w:pPr>
        <w:pStyle w:val="NormalWeb"/>
        <w:numPr>
          <w:ilvl w:val="0"/>
          <w:numId w:val="3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Включение половины сеялки только справа: правая половина распределителя оснащается управляемыми выходными отверстиями.</w:t>
      </w:r>
    </w:p>
    <w:p>
      <w:pPr>
        <w:pStyle w:val="NormalWeb"/>
        <w:numPr>
          <w:ilvl w:val="0"/>
          <w:numId w:val="3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Включение половины сеялки с помощью терминала.</w:t>
      </w:r>
    </w:p>
    <w:p>
      <w:pPr>
        <w:pStyle w:val="NormalWeb"/>
        <w:numPr>
          <w:ilvl w:val="0"/>
          <w:numId w:val="36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Количество семян сокращается автоматически.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21" name="Рисунок 50" descr="https://www.poettinger.at/img/landtechnik/noxum/landtechnik/saetechnik/terrasem%20c8%20fertilizer/07.2019%20terrasem%20c8%20fert%20pro/terrasem%20c8%20fert%20pro%2001_ausschnitt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50" descr="https://www.poettinger.at/img/landtechnik/noxum/landtechnik/saetechnik/terrasem%20c8%20fertilizer/07.2019%20terrasem%20c8%20fert%20pro/terrasem%20c8%20fert%20pro%2001_ausschnitt_03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Погрузочный шнек для простого наполнения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качестве опции предлагается универсальный гидравлический погрузочный шнек для семян и удобрений.</w:t>
      </w:r>
    </w:p>
    <w:p>
      <w:pPr>
        <w:pStyle w:val="NormalWeb"/>
        <w:numPr>
          <w:ilvl w:val="0"/>
          <w:numId w:val="3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Удобное манипулирование в процессе наполнения: подвешенная на карданах спиральная труба шнека для простого маневрирования.</w:t>
      </w:r>
    </w:p>
    <w:p>
      <w:pPr>
        <w:pStyle w:val="NormalWeb"/>
        <w:numPr>
          <w:ilvl w:val="0"/>
          <w:numId w:val="3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Выходное отверстие шнека можно поворачивать в пределах всего бункера для семян, что позволяет полностью использовать объем бункера в процессе наполнения.</w:t>
      </w:r>
    </w:p>
    <w:p>
      <w:pPr>
        <w:pStyle w:val="NormalWeb"/>
        <w:numPr>
          <w:ilvl w:val="0"/>
          <w:numId w:val="3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Для транспортировки шнек с помощью гидравлического механизма откидывается вверх и надежно фиксируется над бункером.</w:t>
      </w:r>
    </w:p>
    <w:p>
      <w:pPr>
        <w:pStyle w:val="NormalWeb"/>
        <w:numPr>
          <w:ilvl w:val="0"/>
          <w:numId w:val="3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Высокая пропускная способность: до 470 л/мин</w:t>
      </w:r>
    </w:p>
    <w:p>
      <w:pPr>
        <w:pStyle w:val="NormalWeb"/>
        <w:numPr>
          <w:ilvl w:val="0"/>
          <w:numId w:val="37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Шнек сделан из нержавеющей стали</w:t>
      </w:r>
    </w:p>
    <w:p>
      <w:pPr>
        <w:pStyle w:val="Normal"/>
        <w:rPr>
          <w:b/>
          <w:b/>
          <w:lang w:val="en-US"/>
        </w:rPr>
      </w:pPr>
      <w:r>
        <w:rPr>
          <w:b/>
          <w:lang w:val="en-US"/>
        </w:rPr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Сошник FERTILIZER PRO для оптимального развития всходов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22" name="Рисунок 28" descr="https://www.poettinger.at/img/landtechnik/noxum/landtechnik/saetechnik/_ausstattungen/terrasem%20details/terrasem%20fertilizer%20pro/saeschar-terrasem-fert-pro_aus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8" descr="https://www.poettinger.at/img/landtechnik/noxum/landtechnik/saetechnik/_ausstattungen/terrasem%20details/terrasem%20fertilizer%20pro/saeschar-terrasem-fert-pro_aussschnitt_02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Autospacing="0" w:before="180" w:afterAutospacing="0" w:after="120"/>
        <w:rPr>
          <w:rFonts w:ascii="Open Sans Light" w:hAnsi="Open Sans Light" w:cs="Arial"/>
          <w:color w:val="404040"/>
          <w:spacing w:val="6"/>
          <w:sz w:val="30"/>
          <w:szCs w:val="30"/>
        </w:rPr>
      </w:pPr>
      <w:r>
        <w:rPr>
          <w:rFonts w:cs="Arial" w:ascii="Open Sans Light" w:hAnsi="Open Sans Light"/>
          <w:color w:val="404040"/>
          <w:spacing w:val="6"/>
          <w:sz w:val="30"/>
          <w:szCs w:val="30"/>
        </w:rPr>
        <w:t>Сошник FERTILIZER PRO для оптимального развития всходов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Целенаправленное внесение удобрений под посевное ложе между посевными рядами одного высевающего элемента (Midrow banding — формирование среднего ряда).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Оптимальное питание растений на ранней стадии развития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Давление не менее 180 кг гарантирует надежное проникновение зубчатого однодискового сошника.</w:t>
      </w:r>
    </w:p>
    <w:p>
      <w:pPr>
        <w:pStyle w:val="NormalWeb"/>
        <w:numPr>
          <w:ilvl w:val="0"/>
          <w:numId w:val="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Независимая гидравлическая регулировка глубины позволяет вносить удобрения ниже уровня семян.</w:t>
      </w:r>
    </w:p>
    <w:p>
      <w:pPr>
        <w:pStyle w:val="NormalWeb"/>
        <w:numPr>
          <w:ilvl w:val="0"/>
          <w:numId w:val="1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Измельчение больших пожнивных остатков перед высеивающей балкой.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Водосберегающий метод посева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6096000" cy="4057650"/>
            <wp:effectExtent l="0" t="0" r="0" b="0"/>
            <wp:docPr id="23" name="Рисунок 29" descr="https://www.poettinger.at/img/landtechnik/noxum/landtechnik/saetechnik/terrasem%20classic/terrasem%20c6%20fertilizer%20classic/terrasem%20classic%20se%2005.2020/dng/terrasem_c6_fertilizer_classic_case__dsc3807-2_20200508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9" descr="https://www.poettinger.at/img/landtechnik/noxum/landtechnik/saetechnik/terrasem%20classic/terrasem%20c6%20fertilizer%20classic/terrasem%20classic%20se%2005.2020/dng/terrasem_c6_fertilizer_classic_case__dsc3807-2_20200508_ausschnit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Возможен высев в рыхлую и подмороженную одерновку весной.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За счет давления до 120 кг на один сошник при определенных условиях можно осуществлять прямой посев весной.</w:t>
      </w:r>
    </w:p>
    <w:p>
      <w:pPr>
        <w:pStyle w:val="NormalWeb"/>
        <w:numPr>
          <w:ilvl w:val="0"/>
          <w:numId w:val="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Высокая плотность поверхности почвы и низкая степень испарения снижают потери воды.</w:t>
      </w:r>
    </w:p>
    <w:p>
      <w:pPr>
        <w:pStyle w:val="NormalWeb"/>
        <w:numPr>
          <w:ilvl w:val="0"/>
          <w:numId w:val="2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Возможно прямое внесение удобрений на моделях FERTILIZER.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Маневренность на краю поля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24" name="Рисунок 30" descr="https://www.poettinger.at/img/landtechnik/noxum/landtechnik/saetechnik/terrasem%20c8/terrasem_c8_studio_03.2019_sat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30" descr="https://www.poettinger.at/img/landtechnik/noxum/landtechnik/saetechnik/terrasem%20c8/terrasem_c8_studio_03.2019_sat_ausschnit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Практичная сцепка позволяет выполнять крутые повороты при развороте на краю поля и при транспортировке. Также предлагается телескопическое дышло для маятникового прицепного устройства или со сцепкой США. Благодаря этому машины подходят для любого типа трактора.</w:t>
      </w:r>
    </w:p>
    <w:p>
      <w:pPr>
        <w:pStyle w:val="NormalWeb"/>
        <w:numPr>
          <w:ilvl w:val="0"/>
          <w:numId w:val="3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 телескопическим дышлом +500 мм вы можете работать со сдвоенными или широкопрофильными шинами на тракторе.</w:t>
      </w:r>
    </w:p>
    <w:p>
      <w:pPr>
        <w:pStyle w:val="NormalWeb"/>
        <w:numPr>
          <w:ilvl w:val="0"/>
          <w:numId w:val="3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 использовании следорыхлителей рекомендуется применять удлинитель дышла.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Объемный бункер для высокой производительности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6096000" cy="3943350"/>
            <wp:effectExtent l="0" t="0" r="0" b="0"/>
            <wp:docPr id="25" name="Рисунок 31" descr="https://www.poettinger.at/img/landtechnik/noxum/landtechnik/saetechnik/terrasem%20c6/terrasem%20c6%20ids_saattank_01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31" descr="https://www.poettinger.at/img/landtechnik/noxum/landtechnik/saetechnik/terrasem%20c6/terrasem%20c6%20ids_saattank_01_ausschnit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Наполнение осуществляется с помощью фронтального погрузчика, бигбэгов или гидравлического загрузочного шнека (опционально). От пыли и дождя защищает брезентовая ширма. В свернутом виде она не занимает много места и защищена от повреждений.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Серийная погрузочная платформа позволяет без особого труда открывать ширму бункера и контролировать процесс наполнения.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Решетка на бункере защищает от попадания посторонних предметов.</w:t>
      </w:r>
    </w:p>
    <w:p>
      <w:pPr>
        <w:pStyle w:val="NormalWeb"/>
        <w:numPr>
          <w:ilvl w:val="0"/>
          <w:numId w:val="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Контроль уровня наполнения бункера с семенами входит в серийную комплектацию.</w:t>
      </w:r>
    </w:p>
    <w:p>
      <w:pPr>
        <w:pStyle w:val="NormalWeb"/>
        <w:numPr>
          <w:ilvl w:val="0"/>
          <w:numId w:val="4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 открывании брезентовая ширма сворачивается и не мешает процессу наполнения.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качестве опции также возможно увеличение объема бункера.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Безопасная транспортировка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26" name="Рисунок 32" descr="https://www.poettinger.at/img/landtechnik/noxum/landtechnik/saetechnik/terrasem%20r3/08.2018_terrasem_r3_ids_fendt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32" descr="https://www.poettinger.at/img/landtechnik/noxum/landtechnik/saetechnik/terrasem%20r3/08.2018_terrasem_r3_ids_fendt_ausschnit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Машины TERRASEM демонстрируют превосходные ходовые качества не только в поле, но и на дороге — транспортировать их легко и безопасно. Транспортная ширина составляет 3 м, благодаря чему машина подходит для езды по дорогам общего пользования.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 транспортировке машина опирается на четыре колеса: два средних колеса поднимаются вверх для улучшения боковой устойчивости даже на неровных грунтовых дорогах. Передвижение с высокой скоростью по дороге также не составляет труда.</w:t>
      </w:r>
    </w:p>
    <w:p>
      <w:pPr>
        <w:pStyle w:val="NormalWeb"/>
        <w:numPr>
          <w:ilvl w:val="0"/>
          <w:numId w:val="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Смещенное на 15 см расположение колес почвоуплотнителя обеспечивает плавный ход машины. Тандемные шины компенсируют неровности дороги и поля и предотвращают раскачивание машины.</w:t>
      </w:r>
    </w:p>
    <w:p>
      <w:pPr>
        <w:pStyle w:val="NormalWeb"/>
        <w:numPr>
          <w:ilvl w:val="0"/>
          <w:numId w:val="5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Опционально для пар несущих колес предлагаются пневматические и гидравлические тормоза.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TEGOSEM сеялка для подсева трав и внесения микрогранулированных удобрений</w:t>
      </w:r>
    </w:p>
    <w:p>
      <w:pPr>
        <w:pStyle w:val="2"/>
        <w:spacing w:beforeAutospacing="0" w:before="180" w:afterAutospacing="0" w:after="120"/>
        <w:rPr>
          <w:rFonts w:ascii="Open Sans Light" w:hAnsi="Open Sans Light" w:cs="Arial"/>
          <w:color w:val="404040"/>
          <w:spacing w:val="6"/>
          <w:sz w:val="30"/>
          <w:szCs w:val="30"/>
        </w:rPr>
      </w:pPr>
      <w:r>
        <w:rPr>
          <w:rFonts w:cs="Arial" w:ascii="Open Sans Light" w:hAnsi="Open Sans Light"/>
          <w:color w:val="404040"/>
          <w:spacing w:val="6"/>
          <w:sz w:val="30"/>
          <w:szCs w:val="30"/>
        </w:rPr>
        <w:t>Для смешивания разных компонентов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Благодаря посевному агрегату TEGOSEM 500 с сеялками TERRASEM можно вносить дополнительный посевной материал. Компактный и универсальный пневматический агрегат устанавливается перед бункером и обслуживается с погрузочного мостика.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27" name="Рисунок 37" descr="TEGOSEM сеялка для подсева трав и внесения микрогранулированных удобре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37" descr="TEGOSEM сеялка для подсева трав и внесения микрогранулированных удобрений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="Arial" w:hAnsi="Arial"/>
          <w:color w:val="404040"/>
          <w:spacing w:val="6"/>
          <w:sz w:val="23"/>
          <w:szCs w:val="23"/>
        </w:rPr>
        <w:br/>
        <w:t>TEGOSEM сеялка для подсева трав и внесения микрогранулированных удобрений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28" name="Рисунок 36" descr="https://www.poettinger.at/img/landtechnik/noxum/landtechnik/saetechnik/tegosem%20details/tegosem_500_geblaese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6" descr="https://www.poettinger.at/img/landtechnik/noxum/landtechnik/saetechnik/tegosem%20details/tegosem_500_geblaese_ausschnitt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Style w:val="Numberboxgreen"/>
          <w:rFonts w:cs="Arial" w:ascii="Open Sans Light" w:hAnsi="Open Sans Light"/>
          <w:color w:val="404040"/>
          <w:spacing w:val="6"/>
          <w:sz w:val="18"/>
          <w:szCs w:val="18"/>
        </w:rPr>
        <w:t>1</w:t>
      </w:r>
      <w:r>
        <w:rPr>
          <w:rFonts w:cs="Arial" w:ascii="Open Sans Light" w:hAnsi="Open Sans Light"/>
          <w:color w:val="404040"/>
          <w:spacing w:val="6"/>
        </w:rPr>
        <w:t> Гидравлический привод вентилятора и дозирование</w:t>
      </w:r>
    </w:p>
    <w:p>
      <w:pPr>
        <w:pStyle w:val="NormalWeb"/>
        <w:numPr>
          <w:ilvl w:val="0"/>
          <w:numId w:val="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Частота вращения вентилятора регулируется при помощи регулятора расхода и гидравлического давления.</w:t>
      </w:r>
    </w:p>
    <w:p>
      <w:pPr>
        <w:pStyle w:val="NormalWeb"/>
        <w:numPr>
          <w:ilvl w:val="0"/>
          <w:numId w:val="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Частота вращения вентилятора корректируется в зависимости от типа семян.</w:t>
      </w:r>
    </w:p>
    <w:p>
      <w:pPr>
        <w:pStyle w:val="NormalWeb"/>
        <w:numPr>
          <w:ilvl w:val="0"/>
          <w:numId w:val="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Состоит из одного напорного трубопровода и одной обратной линии.</w:t>
      </w:r>
    </w:p>
    <w:p>
      <w:pPr>
        <w:pStyle w:val="NormalWeb"/>
        <w:numPr>
          <w:ilvl w:val="0"/>
          <w:numId w:val="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Рекомендуется безнапорный возврат непосредственно в бункер.</w:t>
      </w:r>
    </w:p>
    <w:p>
      <w:pPr>
        <w:pStyle w:val="NormalWeb"/>
        <w:numPr>
          <w:ilvl w:val="0"/>
          <w:numId w:val="6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стандартной комплектации имеются два посевных вала для посева крупных и мелких семян.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29" name="Рисунок 35" descr="https://www.poettinger.at/img/landtechnik/noxum/landtechnik/saetechnik/tegosem%20details/tegosem_500_geblaese_mit_verteilerklappe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35" descr="https://www.poettinger.at/img/landtechnik/noxum/landtechnik/saetechnik/tegosem%20details/tegosem_500_geblaese_mit_verteilerklappe_ausschnit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Style w:val="Numberboxgreen"/>
          <w:rFonts w:cs="Arial" w:ascii="Open Sans Light" w:hAnsi="Open Sans Light"/>
          <w:color w:val="404040"/>
          <w:spacing w:val="6"/>
          <w:sz w:val="18"/>
          <w:szCs w:val="18"/>
        </w:rPr>
        <w:t>2</w:t>
      </w:r>
      <w:r>
        <w:rPr>
          <w:rFonts w:cs="Arial" w:ascii="Open Sans Light" w:hAnsi="Open Sans Light"/>
          <w:color w:val="404040"/>
          <w:spacing w:val="6"/>
        </w:rPr>
        <w:t> Подача семян</w:t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зависимости от положения распределителя внесение осуществляется по поверхности, через разбрасывающие тарелки, или по принципу дозирования через один сошник.</w:t>
      </w:r>
    </w:p>
    <w:p>
      <w:pPr>
        <w:pStyle w:val="NormalWeb"/>
        <w:numPr>
          <w:ilvl w:val="0"/>
          <w:numId w:val="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 одной заслонке распределителя на каждую сторону.</w:t>
      </w:r>
    </w:p>
    <w:p>
      <w:pPr>
        <w:pStyle w:val="NormalWeb"/>
        <w:numPr>
          <w:ilvl w:val="0"/>
          <w:numId w:val="7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Простое изменение направления подачи сбоку.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0" name="Рисунок 34" descr="https://www.poettinger.at/img/landtechnik/noxum/landtechnik/saetechnik/tegosem%20details/tegosem_500_streuschiene_6m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4" descr="https://www.poettinger.at/img/landtechnik/noxum/landtechnik/saetechnik/tegosem%20details/tegosem_500_streuschiene_6m_ausschnitt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Style w:val="Numberboxgreen"/>
          <w:rFonts w:cs="Arial" w:ascii="Open Sans Light" w:hAnsi="Open Sans Light"/>
          <w:color w:val="404040"/>
          <w:spacing w:val="6"/>
          <w:sz w:val="18"/>
          <w:szCs w:val="18"/>
        </w:rPr>
        <w:t>3</w:t>
      </w:r>
      <w:r>
        <w:rPr>
          <w:rFonts w:cs="Arial" w:ascii="Open Sans Light" w:hAnsi="Open Sans Light"/>
          <w:color w:val="404040"/>
          <w:spacing w:val="6"/>
        </w:rPr>
        <w:t> Внесение посредством разбрасывающих тарелок</w:t>
      </w:r>
    </w:p>
    <w:p>
      <w:pPr>
        <w:pStyle w:val="NormalWeb"/>
        <w:numPr>
          <w:ilvl w:val="0"/>
          <w:numId w:val="8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Через восемь выходных отверстий семена посредством разбрасывающих тарелок распределяются по поверхности за почвоуплотнителем.</w:t>
      </w:r>
    </w:p>
    <w:p>
      <w:pPr>
        <w:pStyle w:val="NormalWeb"/>
        <w:numPr>
          <w:ilvl w:val="0"/>
          <w:numId w:val="8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Оптимальное распределение семян</w:t>
      </w:r>
    </w:p>
    <w:p>
      <w:pPr>
        <w:pStyle w:val="NormalWeb"/>
        <w:numPr>
          <w:ilvl w:val="0"/>
          <w:numId w:val="8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Внесение в непосредственной близости от почвы предотвращает возможные отклонения из-за воздействия ветра.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1" name="Рисунок 33" descr="https://www.poettinger.at/img/landtechnik/noxum/landtechnik/saetechnik/_ausstattungen/terrasem_saeschiene_montage/montage_saeschiene_terrasem_ausschnitt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3" descr="https://www.poettinger.at/img/landtechnik/noxum/landtechnik/saetechnik/_ausstattungen/terrasem_saeschiene_montage/montage_saeschiene_terrasem_ausschnitt_04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Style w:val="Numberboxgreen"/>
          <w:rFonts w:cs="Arial" w:ascii="Open Sans Light" w:hAnsi="Open Sans Light"/>
          <w:color w:val="404040"/>
          <w:spacing w:val="6"/>
          <w:sz w:val="18"/>
          <w:szCs w:val="18"/>
        </w:rPr>
        <w:t>4</w:t>
      </w:r>
      <w:r>
        <w:rPr>
          <w:rFonts w:cs="Arial" w:ascii="Open Sans Light" w:hAnsi="Open Sans Light"/>
          <w:color w:val="404040"/>
          <w:spacing w:val="6"/>
        </w:rPr>
        <w:t> Внесение в качестве контактного удобрения по принципу дозирования через один сошник</w:t>
      </w:r>
    </w:p>
    <w:p>
      <w:pPr>
        <w:pStyle w:val="NormalWeb"/>
        <w:numPr>
          <w:ilvl w:val="0"/>
          <w:numId w:val="9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Внесение семян непосредственно в поток семян сеялки TERRASEM путем их перевода в дозатор.</w:t>
      </w:r>
    </w:p>
    <w:p>
      <w:pPr>
        <w:pStyle w:val="NormalWeb"/>
        <w:numPr>
          <w:ilvl w:val="0"/>
          <w:numId w:val="9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Оптимальная заделка семян за счет внесения двух компонентов при помощи сошников.</w:t>
      </w:r>
    </w:p>
    <w:p>
      <w:pPr>
        <w:pStyle w:val="NormalWeb"/>
        <w:numPr>
          <w:ilvl w:val="0"/>
          <w:numId w:val="9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Разделение смеси семян в бункере невозможно.</w:t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Обзор преимуществ установки TEGOSEM на TERRASEM</w:t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Подсев (например, трава) при рядовом посеве путем поверхностного сева.</w:t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Добавление удобрений или микрогранул напрямую, при дозировании контактных удобрений принципом дозирования через один сошник —Single Shot.</w:t>
      </w:r>
    </w:p>
    <w:p>
      <w:pPr>
        <w:pStyle w:val="NormalWeb"/>
        <w:numPr>
          <w:ilvl w:val="0"/>
          <w:numId w:val="1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Семена распределяются пневматически, путем поверхностного внесения или через дозатор TERRASEM в сошник.</w:t>
      </w:r>
    </w:p>
    <w:p>
      <w:pPr>
        <w:pStyle w:val="NormalWeb"/>
        <w:numPr>
          <w:ilvl w:val="0"/>
          <w:numId w:val="10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Посев промежуточных культур: помимо зерновых возможно через туковые сошники внесение второго посевного материала и с помощью TEGOSEM можно добавить еще и третий компонент.</w:t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Наш вклад — ваши преимущества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9525" distL="0" distR="0">
            <wp:extent cx="6096000" cy="4067175"/>
            <wp:effectExtent l="0" t="0" r="0" b="0"/>
            <wp:docPr id="32" name="Рисунок 42" descr="https://www.poettinger.at/img/landtechnik/noxum/illustrationen/digitale%20landtechnik/digitale_landtechnik-2021_02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42" descr="https://www.poettinger.at/img/landtechnik/noxum/illustrationen/digitale%20landtechnik/digitale_landtechnik-2021_02_ausschnitt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6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Autospacing="0" w:before="180" w:afterAutospacing="0" w:after="120"/>
        <w:rPr>
          <w:rFonts w:ascii="Open Sans Light" w:hAnsi="Open Sans Light" w:cs="Arial"/>
          <w:color w:val="404040"/>
          <w:spacing w:val="6"/>
          <w:sz w:val="30"/>
          <w:szCs w:val="30"/>
        </w:rPr>
      </w:pPr>
      <w:r>
        <w:rPr>
          <w:rFonts w:cs="Arial" w:ascii="Open Sans Light" w:hAnsi="Open Sans Light"/>
          <w:color w:val="404040"/>
          <w:spacing w:val="6"/>
          <w:sz w:val="30"/>
          <w:szCs w:val="30"/>
        </w:rPr>
        <w:t>Наш вклад — ваши преимущества</w:t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Компетенция в цифровой области – облегчите ваш повседневный труд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PÖTTINGER предлагает вам многочисленные возможности в области цифровых технологий для сельского хозяйства, которые облегчат вашу повседневную работу и сделают ее более эффективной и комфортной.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 течение многих лет наши клиенты извлекали выгоду из интеллигентных терминалов управления, а также решений в области точного земледелия для почвообрабатывающей и посевной техники, технологий уборки урожая и кормозаготовки. Современное, подключенное к сети предприятие становится реальностью вместе с машинами PÖTTINGER.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конечном счете речь идет об облегчении вашей работы и предоставлении экономических выгод благодаря использованию интеллектуальных технологий. То есть об увеличении комфорта, свободного времени и прибыли.</w:t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TERRASEM — электрическая функция дозирования и управления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Предварительное дозирование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Электрическая норма высева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Плавное регулирование нормы высева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Измерение уровня наполнения бункера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Контроль вентилятора и дозирующего вала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Библиотека посевных материалов</w:t>
      </w:r>
    </w:p>
    <w:p>
      <w:pPr>
        <w:pStyle w:val="NormalWeb"/>
        <w:numPr>
          <w:ilvl w:val="0"/>
          <w:numId w:val="11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Контроль потока семян (опция)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3" name="Рисунок 41" descr="https://www.poettinger.at/img/landtechnik/noxum/landtechnik/saetechnik/_ausstattungen/terrasem%20details/terrasem_c6_detail_kabinenbedienung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41" descr="https://www.poettinger.at/img/landtechnik/noxum/landtechnik/saetechnik/_ausstattungen/terrasem%20details/terrasem_c6_detail_kabinenbedienung_ausschnitt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Управление и функции гидравлики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Электрическое преселекторное включение на терминале позволяет управлять функциями гидравлики.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Style w:val="Strong"/>
          <w:rFonts w:cs="Arial" w:ascii="Arial" w:hAnsi="Arial"/>
          <w:color w:val="404040"/>
          <w:spacing w:val="6"/>
          <w:sz w:val="23"/>
          <w:szCs w:val="23"/>
        </w:rPr>
        <w:t>Простое преселекторное включение</w:t>
      </w:r>
    </w:p>
    <w:p>
      <w:pPr>
        <w:pStyle w:val="NormalWeb"/>
        <w:numPr>
          <w:ilvl w:val="0"/>
          <w:numId w:val="1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Управление всеми функциями гидравлики посредством блока управления двойного действия.</w:t>
      </w:r>
    </w:p>
    <w:p>
      <w:pPr>
        <w:pStyle w:val="NormalWeb"/>
        <w:numPr>
          <w:ilvl w:val="0"/>
          <w:numId w:val="12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Привод вентилятора управляется посредством простого блока управления с обратной линией или системой определения нагрузки.</w:t>
      </w:r>
    </w:p>
    <w:p>
      <w:pPr>
        <w:pStyle w:val="NormalWeb"/>
        <w:numPr>
          <w:ilvl w:val="0"/>
          <w:numId w:val="12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 тракторе требуются всего несколько блоков управления.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4" name="Рисунок 40" descr="https://www.poettinger.at/img/landtechnik/noxum/landtechnik/ausstattungen/bedienungen/2017_bedienungen/expert_100/expert_100_seed%20comlete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40" descr="https://www.poettinger.at/img/landtechnik/noxum/landtechnik/ausstattungen/bedienungen/2017_bedienungen/expert_100/expert_100_seed%20comlete_ausschnitt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Система точного земледелия SEED COMPLETE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Для оптимизации обработки сельскохозяйственной площади компания PÖTTINGER предлагает пакет SEED COMPLETE — инструмент вашего успеха.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При использовании функций SECTION CONTROL и RATE CONTROL количество семян регулируется согласно карте дифференцированного внесения, что позволяет избежать наложений. С заранее составленными картами дифференцированного внесения вы можете обрабатывать поле с высокой точностью и получить с него максимальный урожай.</w:t>
      </w:r>
    </w:p>
    <w:p>
      <w:pPr>
        <w:pStyle w:val="NormalWeb"/>
        <w:numPr>
          <w:ilvl w:val="0"/>
          <w:numId w:val="13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Благодаря простой системе передачи данных можно в любое время отправить на компьютер фактические данные о количестве и площади, полученные на поле.</w:t>
      </w:r>
    </w:p>
    <w:p>
      <w:pPr>
        <w:pStyle w:val="NormalWeb"/>
        <w:numPr>
          <w:ilvl w:val="0"/>
          <w:numId w:val="13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Переменное количество нормы высева — путь к повышению урожайности.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5" name="Рисунок 39" descr="https://www.poettinger.at/img/landtechnik/noxum/image/testimonials/ukraine_testimonialkampagne_2018/testimonial_2018_ukraine_agroprodservice_180523_3173_ausschnit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9" descr="https://www.poettinger.at/img/landtechnik/noxum/image/testimonials/ukraine_testimonialkampagne_2018/testimonial_2018_ukraine_agroprodservice_180523_3173_ausschnitt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Получение максимального урожая</w:t>
      </w:r>
    </w:p>
    <w:p>
      <w:pPr>
        <w:pStyle w:val="NormalWeb"/>
        <w:numPr>
          <w:ilvl w:val="0"/>
          <w:numId w:val="1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Сигнал GPS управляет запуском и остановкой дозирования на поворотной полосе.</w:t>
      </w:r>
    </w:p>
    <w:p>
      <w:pPr>
        <w:pStyle w:val="NormalWeb"/>
        <w:numPr>
          <w:ilvl w:val="0"/>
          <w:numId w:val="1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Во время посева учитываются различия почвы и уровень урожайности на одном поле.</w:t>
      </w:r>
    </w:p>
    <w:p>
      <w:pPr>
        <w:pStyle w:val="NormalWeb"/>
        <w:numPr>
          <w:ilvl w:val="0"/>
          <w:numId w:val="14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Адаптированное к местности количество семян на один м</w:t>
      </w:r>
      <w:r>
        <w:rPr>
          <w:rFonts w:cs="Arial" w:ascii="Arial" w:hAnsi="Arial"/>
          <w:color w:val="404040"/>
          <w:spacing w:val="6"/>
          <w:sz w:val="17"/>
          <w:szCs w:val="17"/>
          <w:vertAlign w:val="superscript"/>
        </w:rPr>
        <w:t>2</w:t>
      </w:r>
      <w:r>
        <w:rPr>
          <w:rFonts w:cs="Arial" w:ascii="Arial" w:hAnsi="Arial"/>
          <w:color w:val="404040"/>
          <w:spacing w:val="6"/>
          <w:sz w:val="23"/>
          <w:szCs w:val="23"/>
        </w:rPr>
        <w:t> .</w:t>
      </w:r>
    </w:p>
    <w:p>
      <w:pPr>
        <w:pStyle w:val="NormalWeb"/>
        <w:numPr>
          <w:ilvl w:val="0"/>
          <w:numId w:val="14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До 5 % экономии переменных затрат или до 50 евро/га благодаря целенаправленному применению техники посева, внесения удобрения и опрыскивания.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6" name="Рисунок 38" descr="https://www.poettinger.at/img/landtechnik/noxum/illustrationen/digitale%20landtechnik/digitale_landtechnik-2021_02_1000x1000_ohn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8" descr="https://www.poettinger.at/img/landtechnik/noxum/illustrationen/digitale%20landtechnik/digitale_landtechnik-2021_02_1000x1000_ohnelogo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Системы управления agrirouter и NEXT Machine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Наряду с другими производителями сельскохозяйственной техники компания PÖTTINGER является участником программы agrirouter. Программа agrirouter представляет собой платформу для обмена данными между сельхозпроизводителем, машиной и программным обеспечением.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Система управления NEXT Machine подключает машину PÖTTINGER к целому парку сельскохозяйственных машин. Документация по заданию, данные о машине, карты приложения и т. п. несложно пересылать от машины в программы, установленные в фермерских хозяйствах. Это снижает ежедневные расходы на управление.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4"/>
        <w:spacing w:beforeAutospacing="0" w:before="0" w:afterAutospacing="0" w:after="0"/>
        <w:rPr>
          <w:rFonts w:ascii="Open Sans Light" w:hAnsi="Open Sans Light" w:cs="Arial"/>
          <w:color w:val="404040"/>
          <w:spacing w:val="6"/>
        </w:rPr>
      </w:pPr>
      <w:r>
        <w:rPr>
          <w:rFonts w:cs="Arial" w:ascii="Open Sans Light" w:hAnsi="Open Sans Light"/>
          <w:color w:val="404040"/>
          <w:spacing w:val="6"/>
        </w:rPr>
        <w:t>Интеллигентное управление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7" name="Рисунок 46" descr="https://www.poettinger.at/img/landtechnik/noxum/landtechnik/ausstattungen/bedienungen/2019_bedienungen/powercontrol_terrasem_au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46" descr="https://www.poettinger.at/img/landtechnik/noxum/landtechnik/ausstattungen/bedienungen/2019_bedienungen/powercontrol_terrasem_ausschnitt_0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POWER CONTROL – комфортное электронное управление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Терминал POWER CONTROL может использоваться для управления всеми машинами PÖTTINGER, совместимыми с ISOBUS. Функции выполняются простым нажатием клавиши без предварительного выбора и дополнительного устройства управления.</w:t>
      </w:r>
    </w:p>
    <w:p>
      <w:pPr>
        <w:pStyle w:val="NormalWeb"/>
        <w:numPr>
          <w:ilvl w:val="0"/>
          <w:numId w:val="1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Самые важные клавиши связаны непосредственно со специфическими для данной машины функциями, что значительно облегчает работу даже неопытного оператора.</w:t>
      </w:r>
    </w:p>
    <w:p>
      <w:pPr>
        <w:pStyle w:val="NormalWeb"/>
        <w:numPr>
          <w:ilvl w:val="0"/>
          <w:numId w:val="15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Функциональные клавиши F1–F4 позволяют управлять дополнительным оборудованием машины.</w:t>
      </w:r>
    </w:p>
    <w:p>
      <w:pPr>
        <w:pStyle w:val="NormalWeb"/>
        <w:numPr>
          <w:ilvl w:val="0"/>
          <w:numId w:val="15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На цветной дисплей выводится информация о функциях и рабочих состояниях машины.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Сеялки TERRASEM предлагаются на выбор с управлением гидравлики ARTIS или ARTIS PLUS.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ARTIS: прямое включение трех различных функций гидравлической системы — помимо привода вентилятора необходимы три дополнительных блока управления двойного действия.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ARTIS PLUS: с гидравлическим преселекторным включением (помимо привода вентилятора необходим один дополнительный прибор управления двойного действия).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8" name="Рисунок 45" descr="https://www.poettinger.at/img/landtechnik/noxum/landtechnik/ausstattungen/bedienungen/2019_bedienungen/expert75_terrasem-c6_schraeg_au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45" descr="https://www.poettinger.at/img/landtechnik/noxum/landtechnik/ausstattungen/bedienungen/2019_bedienungen/expert75_terrasem-c6_schraeg_ausschnitt_02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Терминал EXPERT 75 ISOBUS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Терминал ISOBUS EXPERT 75 компании PÖTTINGER предлагает максимальную универсальность и делает возможным профессиональное управление всеми машинами других производителей, совместимыми с ISOBUS. У нового терминала были усовершенствованы эргономика и четкость. Терминал предлагает множество преимуществ.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Высококачественный цветной сенсорный TFT-дисплей размером 5,6"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Прочный, современный пластиковый корпус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Удобное управление одной рукой, держатель для удобного захвата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Двурядное расположение кнопок справа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Простой и понятный пользовательский интерфейс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Ввод посредством клавиш и сенсорного дисплея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Колесико прокрутки с функцией подтверждения для непосредственного ввода и изменения заданных значений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Компактный размер – без ограничения поля зрения</w:t>
      </w:r>
    </w:p>
    <w:p>
      <w:pPr>
        <w:pStyle w:val="NormalWeb"/>
        <w:numPr>
          <w:ilvl w:val="0"/>
          <w:numId w:val="16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Световой сенсор и подсветка клавиш.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39" name="Рисунок 44" descr="https://www.poettinger.at/img/landtechnik/noxum/landtechnik/ausstattungen/bedienungen/2019_bedienungen/cci1200_nurterrasem_au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44" descr="https://www.poettinger.at/img/landtechnik/noxum/landtechnik/ausstattungen/bedienungen/2019_bedienungen/cci1200_nurterrasem_ausschnitt_02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Терминал CCI 1200 ISOBUS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Этот терминал включает в себя не только функции управления POWER CONTROL, но и может применяться с независимой от производителя функциональностью ISOBUS для всего вашего машинного парка.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Высококачественный цветной сенсорный TFT-дисплей размером 12"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Простой и понятный пользовательский интерфейс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Возможно горизонтальное или вертикальное отображение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Просмотр в полный экран для наилучшего контроля за функциями машины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Индивидуальная раскладка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Предварительный выбор функций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Библиотека посевных материалов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Полный мониторинг машины</w:t>
      </w:r>
    </w:p>
    <w:p>
      <w:pPr>
        <w:pStyle w:val="NormalWeb"/>
        <w:numPr>
          <w:ilvl w:val="0"/>
          <w:numId w:val="17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Основа для SEED COMPLETE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Одновременное отображение нескольких приложений</w:t>
      </w:r>
    </w:p>
    <w:p>
      <w:pPr>
        <w:pStyle w:val="NormalWeb"/>
        <w:numPr>
          <w:ilvl w:val="0"/>
          <w:numId w:val="18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Камера и функции машины</w:t>
      </w:r>
    </w:p>
    <w:p>
      <w:pPr>
        <w:pStyle w:val="NormalWeb"/>
        <w:numPr>
          <w:ilvl w:val="0"/>
          <w:numId w:val="18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Возможно одновременное управление несколькими машинами ISOBUS</w:t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</w:r>
    </w:p>
    <w:p>
      <w:pPr>
        <w:pStyle w:val="Normal"/>
        <w:rPr>
          <w:rFonts w:ascii="Arial" w:hAnsi="Arial" w:cs="Arial"/>
          <w:color w:val="404040"/>
          <w:spacing w:val="6"/>
          <w:sz w:val="23"/>
          <w:szCs w:val="23"/>
        </w:rPr>
      </w:pPr>
      <w:r>
        <w:rPr/>
        <w:drawing>
          <wp:inline distT="0" distB="0" distL="0" distR="0">
            <wp:extent cx="4572000" cy="4572000"/>
            <wp:effectExtent l="0" t="0" r="0" b="0"/>
            <wp:docPr id="40" name="Рисунок 43" descr="https://www.poettinger.at/img/landtechnik/noxum/landtechnik/ausstattungen/bedienungen/2019_bedienungen/cci1200_terrasem_seedcomplete_ausschnitt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3" descr="https://www.poettinger.at/img/landtechnik/noxum/landtechnik/ausstattungen/bedienungen/2019_bedienungen/cci1200_terrasem_seedcomplete_ausschnitt_02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80" w:after="120"/>
        <w:rPr>
          <w:rFonts w:ascii="Open Sans Light" w:hAnsi="Open Sans Light" w:cs="Arial"/>
          <w:color w:val="404040"/>
          <w:spacing w:val="6"/>
          <w:sz w:val="27"/>
          <w:szCs w:val="27"/>
        </w:rPr>
      </w:pPr>
      <w:r>
        <w:rPr>
          <w:rFonts w:cs="Arial" w:ascii="Open Sans Light" w:hAnsi="Open Sans Light"/>
          <w:color w:val="404040"/>
          <w:spacing w:val="6"/>
        </w:rPr>
        <w:t>SEED COMPLETE</w:t>
      </w:r>
    </w:p>
    <w:p>
      <w:pPr>
        <w:pStyle w:val="NormalWeb"/>
        <w:numPr>
          <w:ilvl w:val="0"/>
          <w:numId w:val="19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Терминал CCI 1200 ISOBUS в комбинации с приложением TC-GEO (специфичный для отдельной местности посев) и TC-SC (Section Control) является основой современного и ориентированного на сбор данных посева.</w:t>
      </w:r>
    </w:p>
    <w:p>
      <w:pPr>
        <w:pStyle w:val="NormalWeb"/>
        <w:numPr>
          <w:ilvl w:val="0"/>
          <w:numId w:val="19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SEED COMPLETE предлагается как с пакетом антенн, так и без.</w:t>
      </w:r>
    </w:p>
    <w:p>
      <w:pPr>
        <w:pStyle w:val="NormalWeb"/>
        <w:spacing w:beforeAutospacing="0" w:before="0" w:afterAutospacing="0" w:after="15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Другие преимущества SEED COMPLETE</w:t>
      </w:r>
    </w:p>
    <w:p>
      <w:pPr>
        <w:pStyle w:val="NormalWeb"/>
        <w:numPr>
          <w:ilvl w:val="0"/>
          <w:numId w:val="2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Увеличение урожайности и экономической эффективности – норма высева адаптируется под местность (кол-во семян/м</w:t>
      </w:r>
      <w:r>
        <w:rPr>
          <w:rFonts w:cs="Arial" w:ascii="Arial" w:hAnsi="Arial"/>
          <w:color w:val="404040"/>
          <w:spacing w:val="6"/>
          <w:sz w:val="17"/>
          <w:szCs w:val="17"/>
          <w:vertAlign w:val="superscript"/>
        </w:rPr>
        <w:t>2</w:t>
      </w:r>
      <w:r>
        <w:rPr>
          <w:rFonts w:cs="Arial" w:ascii="Arial" w:hAnsi="Arial"/>
          <w:color w:val="404040"/>
          <w:spacing w:val="6"/>
          <w:sz w:val="23"/>
          <w:szCs w:val="23"/>
        </w:rPr>
        <w:t> ). Результат: оптимальный урожай на соответствующих участках.</w:t>
      </w:r>
    </w:p>
    <w:p>
      <w:pPr>
        <w:pStyle w:val="NormalWeb"/>
        <w:numPr>
          <w:ilvl w:val="0"/>
          <w:numId w:val="2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Возможность учитывать во время посева различия почвы и урожайности на одном поле.</w:t>
      </w:r>
    </w:p>
    <w:p>
      <w:pPr>
        <w:pStyle w:val="NormalWeb"/>
        <w:numPr>
          <w:ilvl w:val="0"/>
          <w:numId w:val="2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Удобство: облегчение работы оператора за счет автоматического включения и выключения посевной операции.</w:t>
      </w:r>
    </w:p>
    <w:p>
      <w:pPr>
        <w:pStyle w:val="NormalWeb"/>
        <w:numPr>
          <w:ilvl w:val="0"/>
          <w:numId w:val="2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Повышение эффективности и прибыльности предприятия; экономия ресурсов.</w:t>
      </w:r>
    </w:p>
    <w:p>
      <w:pPr>
        <w:pStyle w:val="NormalWeb"/>
        <w:numPr>
          <w:ilvl w:val="0"/>
          <w:numId w:val="20"/>
        </w:numPr>
        <w:spacing w:beforeAutospacing="0" w:before="0" w:afterAutospacing="0" w:after="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Предотвращение перекрытия и проколов при посеве и внесении удобрений.</w:t>
      </w:r>
    </w:p>
    <w:p>
      <w:pPr>
        <w:pStyle w:val="NormalWeb"/>
        <w:numPr>
          <w:ilvl w:val="0"/>
          <w:numId w:val="20"/>
        </w:numPr>
        <w:spacing w:beforeAutospacing="0" w:before="0" w:afterAutospacing="0" w:after="150"/>
        <w:ind w:left="300" w:hanging="360"/>
        <w:rPr>
          <w:rFonts w:ascii="Arial" w:hAnsi="Arial" w:cs="Arial"/>
          <w:color w:val="404040"/>
          <w:spacing w:val="6"/>
          <w:sz w:val="23"/>
          <w:szCs w:val="23"/>
        </w:rPr>
      </w:pPr>
      <w:r>
        <w:rPr>
          <w:rFonts w:cs="Arial" w:ascii="Arial" w:hAnsi="Arial"/>
          <w:color w:val="404040"/>
          <w:spacing w:val="6"/>
          <w:sz w:val="23"/>
          <w:szCs w:val="23"/>
        </w:rPr>
        <w:t>Подключение к agrirouter входит в оснащение.</w: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701" w:right="850" w:header="0" w:top="1134" w:footer="0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  <w:font w:name="Arial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Open Sans Light">
    <w:charset w:val="01"/>
    <w:family w:val="roman"/>
    <w:pitch w:val="variable"/>
  </w:font>
  <w:font w:name="Wingdings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4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6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7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8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9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0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1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2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3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4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5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6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7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8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9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0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1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2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3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4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5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6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7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8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9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0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1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2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3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4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5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6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7"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sz w:val="23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38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Normal"/>
    <w:link w:val="20"/>
    <w:uiPriority w:val="9"/>
    <w:qFormat/>
    <w:rsid w:val="00855836"/>
    <w:pPr>
      <w:spacing w:lineRule="auto" w:line="240" w:beforeAutospacing="1" w:afterAutospacing="1"/>
      <w:outlineLvl w:val="1"/>
    </w:pPr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Normal"/>
    <w:link w:val="30"/>
    <w:uiPriority w:val="9"/>
    <w:semiHidden/>
    <w:unhideWhenUsed/>
    <w:qFormat/>
    <w:rsid w:val="00855836"/>
    <w:pPr>
      <w:keepNext w:val="true"/>
      <w:keepLines/>
      <w:spacing w:before="40" w:after="0"/>
      <w:outlineLvl w:val="2"/>
    </w:pPr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paragraph" w:styleId="4">
    <w:name w:val="Heading 4"/>
    <w:basedOn w:val="Normal"/>
    <w:link w:val="40"/>
    <w:uiPriority w:val="9"/>
    <w:qFormat/>
    <w:rsid w:val="00855836"/>
    <w:pPr>
      <w:spacing w:lineRule="auto" w:line="240" w:beforeAutospacing="1" w:afterAutospacing="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1" w:customStyle="1">
    <w:name w:val="Заголовок 2 Знак"/>
    <w:basedOn w:val="DefaultParagraphFont"/>
    <w:link w:val="2"/>
    <w:uiPriority w:val="9"/>
    <w:qFormat/>
    <w:rsid w:val="00855836"/>
    <w:rPr>
      <w:rFonts w:ascii="Times New Roman" w:hAnsi="Times New Roman" w:eastAsia="Times New Roman" w:cs="Times New Roman"/>
      <w:b/>
      <w:bCs/>
      <w:sz w:val="36"/>
      <w:szCs w:val="36"/>
      <w:lang w:eastAsia="ru-RU"/>
    </w:rPr>
  </w:style>
  <w:style w:type="character" w:styleId="41" w:customStyle="1">
    <w:name w:val="Заголовок 4 Знак"/>
    <w:basedOn w:val="DefaultParagraphFont"/>
    <w:link w:val="4"/>
    <w:uiPriority w:val="9"/>
    <w:qFormat/>
    <w:rsid w:val="00855836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Style11">
    <w:name w:val="Интернет-ссылка"/>
    <w:basedOn w:val="DefaultParagraphFont"/>
    <w:uiPriority w:val="99"/>
    <w:semiHidden/>
    <w:unhideWhenUsed/>
    <w:rsid w:val="00855836"/>
    <w:rPr>
      <w:color w:val="0000FF"/>
      <w:u w:val="single"/>
    </w:rPr>
  </w:style>
  <w:style w:type="character" w:styleId="31" w:customStyle="1">
    <w:name w:val="Заголовок 3 Знак"/>
    <w:basedOn w:val="DefaultParagraphFont"/>
    <w:link w:val="3"/>
    <w:uiPriority w:val="9"/>
    <w:semiHidden/>
    <w:qFormat/>
    <w:rsid w:val="00855836"/>
    <w:rPr>
      <w:rFonts w:ascii="Calibri Light" w:hAnsi="Calibri Light" w:eastAsia="" w:cs="" w:asciiTheme="majorHAnsi" w:cstheme="majorBidi" w:eastAsiaTheme="majorEastAsia" w:hAnsiTheme="majorHAnsi"/>
      <w:color w:val="1F4D78" w:themeColor="accent1" w:themeShade="7f"/>
      <w:sz w:val="24"/>
      <w:szCs w:val="24"/>
    </w:rPr>
  </w:style>
  <w:style w:type="character" w:styleId="Numberboxgreen" w:customStyle="1">
    <w:name w:val="numberboxgreen"/>
    <w:basedOn w:val="DefaultParagraphFont"/>
    <w:qFormat/>
    <w:rsid w:val="00855836"/>
    <w:rPr/>
  </w:style>
  <w:style w:type="character" w:styleId="Strong">
    <w:name w:val="Strong"/>
    <w:basedOn w:val="DefaultParagraphFont"/>
    <w:uiPriority w:val="22"/>
    <w:qFormat/>
    <w:rsid w:val="00855836"/>
    <w:rPr>
      <w:b/>
      <w:bCs/>
    </w:rPr>
  </w:style>
  <w:style w:type="character" w:styleId="ListLabel1">
    <w:name w:val="ListLabel 1"/>
    <w:qFormat/>
    <w:rPr>
      <w:rFonts w:ascii="Arial" w:hAnsi="Arial"/>
      <w:sz w:val="23"/>
    </w:rPr>
  </w:style>
  <w:style w:type="character" w:styleId="ListLabel2">
    <w:name w:val="ListLabel 2"/>
    <w:qFormat/>
    <w:rPr>
      <w:sz w:val="20"/>
    </w:rPr>
  </w:style>
  <w:style w:type="character" w:styleId="ListLabel3">
    <w:name w:val="ListLabel 3"/>
    <w:qFormat/>
    <w:rPr>
      <w:sz w:val="20"/>
    </w:rPr>
  </w:style>
  <w:style w:type="character" w:styleId="ListLabel4">
    <w:name w:val="ListLabel 4"/>
    <w:qFormat/>
    <w:rPr>
      <w:sz w:val="20"/>
    </w:rPr>
  </w:style>
  <w:style w:type="character" w:styleId="ListLabel5">
    <w:name w:val="ListLabel 5"/>
    <w:qFormat/>
    <w:rPr>
      <w:sz w:val="20"/>
    </w:rPr>
  </w:style>
  <w:style w:type="character" w:styleId="ListLabel6">
    <w:name w:val="ListLabel 6"/>
    <w:qFormat/>
    <w:rPr>
      <w:sz w:val="20"/>
    </w:rPr>
  </w:style>
  <w:style w:type="character" w:styleId="ListLabel7">
    <w:name w:val="ListLabel 7"/>
    <w:qFormat/>
    <w:rPr>
      <w:sz w:val="20"/>
    </w:rPr>
  </w:style>
  <w:style w:type="character" w:styleId="ListLabel8">
    <w:name w:val="ListLabel 8"/>
    <w:qFormat/>
    <w:rPr>
      <w:sz w:val="20"/>
    </w:rPr>
  </w:style>
  <w:style w:type="character" w:styleId="ListLabel9">
    <w:name w:val="ListLabel 9"/>
    <w:qFormat/>
    <w:rPr>
      <w:sz w:val="20"/>
    </w:rPr>
  </w:style>
  <w:style w:type="character" w:styleId="ListLabel10">
    <w:name w:val="ListLabel 10"/>
    <w:qFormat/>
    <w:rPr>
      <w:rFonts w:ascii="Arial" w:hAnsi="Arial"/>
      <w:sz w:val="23"/>
    </w:rPr>
  </w:style>
  <w:style w:type="character" w:styleId="ListLabel11">
    <w:name w:val="ListLabel 11"/>
    <w:qFormat/>
    <w:rPr>
      <w:sz w:val="20"/>
    </w:rPr>
  </w:style>
  <w:style w:type="character" w:styleId="ListLabel12">
    <w:name w:val="ListLabel 12"/>
    <w:qFormat/>
    <w:rPr>
      <w:sz w:val="20"/>
    </w:rPr>
  </w:style>
  <w:style w:type="character" w:styleId="ListLabel13">
    <w:name w:val="ListLabel 13"/>
    <w:qFormat/>
    <w:rPr>
      <w:sz w:val="20"/>
    </w:rPr>
  </w:style>
  <w:style w:type="character" w:styleId="ListLabel14">
    <w:name w:val="ListLabel 14"/>
    <w:qFormat/>
    <w:rPr>
      <w:sz w:val="20"/>
    </w:rPr>
  </w:style>
  <w:style w:type="character" w:styleId="ListLabel15">
    <w:name w:val="ListLabel 15"/>
    <w:qFormat/>
    <w:rPr>
      <w:sz w:val="20"/>
    </w:rPr>
  </w:style>
  <w:style w:type="character" w:styleId="ListLabel16">
    <w:name w:val="ListLabel 16"/>
    <w:qFormat/>
    <w:rPr>
      <w:sz w:val="20"/>
    </w:rPr>
  </w:style>
  <w:style w:type="character" w:styleId="ListLabel17">
    <w:name w:val="ListLabel 17"/>
    <w:qFormat/>
    <w:rPr>
      <w:sz w:val="20"/>
    </w:rPr>
  </w:style>
  <w:style w:type="character" w:styleId="ListLabel18">
    <w:name w:val="ListLabel 18"/>
    <w:qFormat/>
    <w:rPr>
      <w:sz w:val="20"/>
    </w:rPr>
  </w:style>
  <w:style w:type="character" w:styleId="ListLabel19">
    <w:name w:val="ListLabel 19"/>
    <w:qFormat/>
    <w:rPr>
      <w:rFonts w:ascii="Arial" w:hAnsi="Arial"/>
      <w:sz w:val="23"/>
    </w:rPr>
  </w:style>
  <w:style w:type="character" w:styleId="ListLabel20">
    <w:name w:val="ListLabel 20"/>
    <w:qFormat/>
    <w:rPr>
      <w:sz w:val="20"/>
    </w:rPr>
  </w:style>
  <w:style w:type="character" w:styleId="ListLabel21">
    <w:name w:val="ListLabel 21"/>
    <w:qFormat/>
    <w:rPr>
      <w:sz w:val="20"/>
    </w:rPr>
  </w:style>
  <w:style w:type="character" w:styleId="ListLabel22">
    <w:name w:val="ListLabel 22"/>
    <w:qFormat/>
    <w:rPr>
      <w:sz w:val="20"/>
    </w:rPr>
  </w:style>
  <w:style w:type="character" w:styleId="ListLabel23">
    <w:name w:val="ListLabel 23"/>
    <w:qFormat/>
    <w:rPr>
      <w:sz w:val="20"/>
    </w:rPr>
  </w:style>
  <w:style w:type="character" w:styleId="ListLabel24">
    <w:name w:val="ListLabel 24"/>
    <w:qFormat/>
    <w:rPr>
      <w:sz w:val="20"/>
    </w:rPr>
  </w:style>
  <w:style w:type="character" w:styleId="ListLabel25">
    <w:name w:val="ListLabel 25"/>
    <w:qFormat/>
    <w:rPr>
      <w:sz w:val="20"/>
    </w:rPr>
  </w:style>
  <w:style w:type="character" w:styleId="ListLabel26">
    <w:name w:val="ListLabel 26"/>
    <w:qFormat/>
    <w:rPr>
      <w:sz w:val="20"/>
    </w:rPr>
  </w:style>
  <w:style w:type="character" w:styleId="ListLabel27">
    <w:name w:val="ListLabel 27"/>
    <w:qFormat/>
    <w:rPr>
      <w:sz w:val="20"/>
    </w:rPr>
  </w:style>
  <w:style w:type="character" w:styleId="ListLabel28">
    <w:name w:val="ListLabel 28"/>
    <w:qFormat/>
    <w:rPr>
      <w:rFonts w:ascii="Arial" w:hAnsi="Arial"/>
      <w:sz w:val="23"/>
    </w:rPr>
  </w:style>
  <w:style w:type="character" w:styleId="ListLabel29">
    <w:name w:val="ListLabel 29"/>
    <w:qFormat/>
    <w:rPr>
      <w:sz w:val="20"/>
    </w:rPr>
  </w:style>
  <w:style w:type="character" w:styleId="ListLabel30">
    <w:name w:val="ListLabel 30"/>
    <w:qFormat/>
    <w:rPr>
      <w:sz w:val="20"/>
    </w:rPr>
  </w:style>
  <w:style w:type="character" w:styleId="ListLabel31">
    <w:name w:val="ListLabel 31"/>
    <w:qFormat/>
    <w:rPr>
      <w:sz w:val="20"/>
    </w:rPr>
  </w:style>
  <w:style w:type="character" w:styleId="ListLabel32">
    <w:name w:val="ListLabel 32"/>
    <w:qFormat/>
    <w:rPr>
      <w:sz w:val="20"/>
    </w:rPr>
  </w:style>
  <w:style w:type="character" w:styleId="ListLabel33">
    <w:name w:val="ListLabel 33"/>
    <w:qFormat/>
    <w:rPr>
      <w:sz w:val="20"/>
    </w:rPr>
  </w:style>
  <w:style w:type="character" w:styleId="ListLabel34">
    <w:name w:val="ListLabel 34"/>
    <w:qFormat/>
    <w:rPr>
      <w:sz w:val="20"/>
    </w:rPr>
  </w:style>
  <w:style w:type="character" w:styleId="ListLabel35">
    <w:name w:val="ListLabel 35"/>
    <w:qFormat/>
    <w:rPr>
      <w:sz w:val="20"/>
    </w:rPr>
  </w:style>
  <w:style w:type="character" w:styleId="ListLabel36">
    <w:name w:val="ListLabel 36"/>
    <w:qFormat/>
    <w:rPr>
      <w:sz w:val="20"/>
    </w:rPr>
  </w:style>
  <w:style w:type="character" w:styleId="ListLabel37">
    <w:name w:val="ListLabel 37"/>
    <w:qFormat/>
    <w:rPr>
      <w:rFonts w:ascii="Arial" w:hAnsi="Arial"/>
      <w:sz w:val="23"/>
    </w:rPr>
  </w:style>
  <w:style w:type="character" w:styleId="ListLabel38">
    <w:name w:val="ListLabel 38"/>
    <w:qFormat/>
    <w:rPr>
      <w:sz w:val="20"/>
    </w:rPr>
  </w:style>
  <w:style w:type="character" w:styleId="ListLabel39">
    <w:name w:val="ListLabel 39"/>
    <w:qFormat/>
    <w:rPr>
      <w:sz w:val="20"/>
    </w:rPr>
  </w:style>
  <w:style w:type="character" w:styleId="ListLabel40">
    <w:name w:val="ListLabel 40"/>
    <w:qFormat/>
    <w:rPr>
      <w:sz w:val="20"/>
    </w:rPr>
  </w:style>
  <w:style w:type="character" w:styleId="ListLabel41">
    <w:name w:val="ListLabel 41"/>
    <w:qFormat/>
    <w:rPr>
      <w:sz w:val="20"/>
    </w:rPr>
  </w:style>
  <w:style w:type="character" w:styleId="ListLabel42">
    <w:name w:val="ListLabel 42"/>
    <w:qFormat/>
    <w:rPr>
      <w:sz w:val="20"/>
    </w:rPr>
  </w:style>
  <w:style w:type="character" w:styleId="ListLabel43">
    <w:name w:val="ListLabel 43"/>
    <w:qFormat/>
    <w:rPr>
      <w:sz w:val="20"/>
    </w:rPr>
  </w:style>
  <w:style w:type="character" w:styleId="ListLabel44">
    <w:name w:val="ListLabel 44"/>
    <w:qFormat/>
    <w:rPr>
      <w:sz w:val="20"/>
    </w:rPr>
  </w:style>
  <w:style w:type="character" w:styleId="ListLabel45">
    <w:name w:val="ListLabel 45"/>
    <w:qFormat/>
    <w:rPr>
      <w:sz w:val="20"/>
    </w:rPr>
  </w:style>
  <w:style w:type="character" w:styleId="ListLabel46">
    <w:name w:val="ListLabel 46"/>
    <w:qFormat/>
    <w:rPr>
      <w:rFonts w:ascii="Arial" w:hAnsi="Arial"/>
      <w:sz w:val="23"/>
    </w:rPr>
  </w:style>
  <w:style w:type="character" w:styleId="ListLabel47">
    <w:name w:val="ListLabel 47"/>
    <w:qFormat/>
    <w:rPr>
      <w:sz w:val="20"/>
    </w:rPr>
  </w:style>
  <w:style w:type="character" w:styleId="ListLabel48">
    <w:name w:val="ListLabel 48"/>
    <w:qFormat/>
    <w:rPr>
      <w:sz w:val="20"/>
    </w:rPr>
  </w:style>
  <w:style w:type="character" w:styleId="ListLabel49">
    <w:name w:val="ListLabel 49"/>
    <w:qFormat/>
    <w:rPr>
      <w:sz w:val="20"/>
    </w:rPr>
  </w:style>
  <w:style w:type="character" w:styleId="ListLabel50">
    <w:name w:val="ListLabel 50"/>
    <w:qFormat/>
    <w:rPr>
      <w:sz w:val="20"/>
    </w:rPr>
  </w:style>
  <w:style w:type="character" w:styleId="ListLabel51">
    <w:name w:val="ListLabel 51"/>
    <w:qFormat/>
    <w:rPr>
      <w:sz w:val="20"/>
    </w:rPr>
  </w:style>
  <w:style w:type="character" w:styleId="ListLabel52">
    <w:name w:val="ListLabel 52"/>
    <w:qFormat/>
    <w:rPr>
      <w:sz w:val="20"/>
    </w:rPr>
  </w:style>
  <w:style w:type="character" w:styleId="ListLabel53">
    <w:name w:val="ListLabel 53"/>
    <w:qFormat/>
    <w:rPr>
      <w:sz w:val="20"/>
    </w:rPr>
  </w:style>
  <w:style w:type="character" w:styleId="ListLabel54">
    <w:name w:val="ListLabel 54"/>
    <w:qFormat/>
    <w:rPr>
      <w:sz w:val="20"/>
    </w:rPr>
  </w:style>
  <w:style w:type="character" w:styleId="ListLabel55">
    <w:name w:val="ListLabel 55"/>
    <w:qFormat/>
    <w:rPr>
      <w:rFonts w:ascii="Arial" w:hAnsi="Arial"/>
      <w:sz w:val="23"/>
    </w:rPr>
  </w:style>
  <w:style w:type="character" w:styleId="ListLabel56">
    <w:name w:val="ListLabel 56"/>
    <w:qFormat/>
    <w:rPr>
      <w:sz w:val="20"/>
    </w:rPr>
  </w:style>
  <w:style w:type="character" w:styleId="ListLabel57">
    <w:name w:val="ListLabel 57"/>
    <w:qFormat/>
    <w:rPr>
      <w:sz w:val="20"/>
    </w:rPr>
  </w:style>
  <w:style w:type="character" w:styleId="ListLabel58">
    <w:name w:val="ListLabel 58"/>
    <w:qFormat/>
    <w:rPr>
      <w:sz w:val="20"/>
    </w:rPr>
  </w:style>
  <w:style w:type="character" w:styleId="ListLabel59">
    <w:name w:val="ListLabel 59"/>
    <w:qFormat/>
    <w:rPr>
      <w:sz w:val="20"/>
    </w:rPr>
  </w:style>
  <w:style w:type="character" w:styleId="ListLabel60">
    <w:name w:val="ListLabel 60"/>
    <w:qFormat/>
    <w:rPr>
      <w:sz w:val="20"/>
    </w:rPr>
  </w:style>
  <w:style w:type="character" w:styleId="ListLabel61">
    <w:name w:val="ListLabel 61"/>
    <w:qFormat/>
    <w:rPr>
      <w:sz w:val="20"/>
    </w:rPr>
  </w:style>
  <w:style w:type="character" w:styleId="ListLabel62">
    <w:name w:val="ListLabel 62"/>
    <w:qFormat/>
    <w:rPr>
      <w:sz w:val="20"/>
    </w:rPr>
  </w:style>
  <w:style w:type="character" w:styleId="ListLabel63">
    <w:name w:val="ListLabel 63"/>
    <w:qFormat/>
    <w:rPr>
      <w:sz w:val="20"/>
    </w:rPr>
  </w:style>
  <w:style w:type="character" w:styleId="ListLabel64">
    <w:name w:val="ListLabel 64"/>
    <w:qFormat/>
    <w:rPr>
      <w:rFonts w:ascii="Arial" w:hAnsi="Arial"/>
      <w:sz w:val="23"/>
    </w:rPr>
  </w:style>
  <w:style w:type="character" w:styleId="ListLabel65">
    <w:name w:val="ListLabel 65"/>
    <w:qFormat/>
    <w:rPr>
      <w:sz w:val="20"/>
    </w:rPr>
  </w:style>
  <w:style w:type="character" w:styleId="ListLabel66">
    <w:name w:val="ListLabel 66"/>
    <w:qFormat/>
    <w:rPr>
      <w:sz w:val="20"/>
    </w:rPr>
  </w:style>
  <w:style w:type="character" w:styleId="ListLabel67">
    <w:name w:val="ListLabel 67"/>
    <w:qFormat/>
    <w:rPr>
      <w:sz w:val="20"/>
    </w:rPr>
  </w:style>
  <w:style w:type="character" w:styleId="ListLabel68">
    <w:name w:val="ListLabel 68"/>
    <w:qFormat/>
    <w:rPr>
      <w:sz w:val="20"/>
    </w:rPr>
  </w:style>
  <w:style w:type="character" w:styleId="ListLabel69">
    <w:name w:val="ListLabel 69"/>
    <w:qFormat/>
    <w:rPr>
      <w:sz w:val="20"/>
    </w:rPr>
  </w:style>
  <w:style w:type="character" w:styleId="ListLabel70">
    <w:name w:val="ListLabel 70"/>
    <w:qFormat/>
    <w:rPr>
      <w:sz w:val="20"/>
    </w:rPr>
  </w:style>
  <w:style w:type="character" w:styleId="ListLabel71">
    <w:name w:val="ListLabel 71"/>
    <w:qFormat/>
    <w:rPr>
      <w:sz w:val="20"/>
    </w:rPr>
  </w:style>
  <w:style w:type="character" w:styleId="ListLabel72">
    <w:name w:val="ListLabel 72"/>
    <w:qFormat/>
    <w:rPr>
      <w:sz w:val="20"/>
    </w:rPr>
  </w:style>
  <w:style w:type="character" w:styleId="ListLabel73">
    <w:name w:val="ListLabel 73"/>
    <w:qFormat/>
    <w:rPr>
      <w:rFonts w:ascii="Arial" w:hAnsi="Arial"/>
      <w:sz w:val="23"/>
    </w:rPr>
  </w:style>
  <w:style w:type="character" w:styleId="ListLabel74">
    <w:name w:val="ListLabel 74"/>
    <w:qFormat/>
    <w:rPr>
      <w:sz w:val="20"/>
    </w:rPr>
  </w:style>
  <w:style w:type="character" w:styleId="ListLabel75">
    <w:name w:val="ListLabel 75"/>
    <w:qFormat/>
    <w:rPr>
      <w:sz w:val="20"/>
    </w:rPr>
  </w:style>
  <w:style w:type="character" w:styleId="ListLabel76">
    <w:name w:val="ListLabel 76"/>
    <w:qFormat/>
    <w:rPr>
      <w:sz w:val="20"/>
    </w:rPr>
  </w:style>
  <w:style w:type="character" w:styleId="ListLabel77">
    <w:name w:val="ListLabel 77"/>
    <w:qFormat/>
    <w:rPr>
      <w:sz w:val="20"/>
    </w:rPr>
  </w:style>
  <w:style w:type="character" w:styleId="ListLabel78">
    <w:name w:val="ListLabel 78"/>
    <w:qFormat/>
    <w:rPr>
      <w:sz w:val="20"/>
    </w:rPr>
  </w:style>
  <w:style w:type="character" w:styleId="ListLabel79">
    <w:name w:val="ListLabel 79"/>
    <w:qFormat/>
    <w:rPr>
      <w:sz w:val="20"/>
    </w:rPr>
  </w:style>
  <w:style w:type="character" w:styleId="ListLabel80">
    <w:name w:val="ListLabel 80"/>
    <w:qFormat/>
    <w:rPr>
      <w:sz w:val="20"/>
    </w:rPr>
  </w:style>
  <w:style w:type="character" w:styleId="ListLabel81">
    <w:name w:val="ListLabel 81"/>
    <w:qFormat/>
    <w:rPr>
      <w:sz w:val="20"/>
    </w:rPr>
  </w:style>
  <w:style w:type="character" w:styleId="ListLabel82">
    <w:name w:val="ListLabel 82"/>
    <w:qFormat/>
    <w:rPr>
      <w:rFonts w:ascii="Arial" w:hAnsi="Arial"/>
      <w:sz w:val="23"/>
    </w:rPr>
  </w:style>
  <w:style w:type="character" w:styleId="ListLabel83">
    <w:name w:val="ListLabel 83"/>
    <w:qFormat/>
    <w:rPr>
      <w:sz w:val="20"/>
    </w:rPr>
  </w:style>
  <w:style w:type="character" w:styleId="ListLabel84">
    <w:name w:val="ListLabel 84"/>
    <w:qFormat/>
    <w:rPr>
      <w:sz w:val="20"/>
    </w:rPr>
  </w:style>
  <w:style w:type="character" w:styleId="ListLabel85">
    <w:name w:val="ListLabel 85"/>
    <w:qFormat/>
    <w:rPr>
      <w:sz w:val="20"/>
    </w:rPr>
  </w:style>
  <w:style w:type="character" w:styleId="ListLabel86">
    <w:name w:val="ListLabel 86"/>
    <w:qFormat/>
    <w:rPr>
      <w:sz w:val="20"/>
    </w:rPr>
  </w:style>
  <w:style w:type="character" w:styleId="ListLabel87">
    <w:name w:val="ListLabel 87"/>
    <w:qFormat/>
    <w:rPr>
      <w:sz w:val="20"/>
    </w:rPr>
  </w:style>
  <w:style w:type="character" w:styleId="ListLabel88">
    <w:name w:val="ListLabel 88"/>
    <w:qFormat/>
    <w:rPr>
      <w:sz w:val="20"/>
    </w:rPr>
  </w:style>
  <w:style w:type="character" w:styleId="ListLabel89">
    <w:name w:val="ListLabel 89"/>
    <w:qFormat/>
    <w:rPr>
      <w:sz w:val="20"/>
    </w:rPr>
  </w:style>
  <w:style w:type="character" w:styleId="ListLabel90">
    <w:name w:val="ListLabel 90"/>
    <w:qFormat/>
    <w:rPr>
      <w:sz w:val="20"/>
    </w:rPr>
  </w:style>
  <w:style w:type="character" w:styleId="ListLabel91">
    <w:name w:val="ListLabel 91"/>
    <w:qFormat/>
    <w:rPr>
      <w:rFonts w:ascii="Arial" w:hAnsi="Arial"/>
      <w:sz w:val="23"/>
    </w:rPr>
  </w:style>
  <w:style w:type="character" w:styleId="ListLabel92">
    <w:name w:val="ListLabel 92"/>
    <w:qFormat/>
    <w:rPr>
      <w:sz w:val="20"/>
    </w:rPr>
  </w:style>
  <w:style w:type="character" w:styleId="ListLabel93">
    <w:name w:val="ListLabel 93"/>
    <w:qFormat/>
    <w:rPr>
      <w:sz w:val="20"/>
    </w:rPr>
  </w:style>
  <w:style w:type="character" w:styleId="ListLabel94">
    <w:name w:val="ListLabel 94"/>
    <w:qFormat/>
    <w:rPr>
      <w:sz w:val="20"/>
    </w:rPr>
  </w:style>
  <w:style w:type="character" w:styleId="ListLabel95">
    <w:name w:val="ListLabel 95"/>
    <w:qFormat/>
    <w:rPr>
      <w:sz w:val="20"/>
    </w:rPr>
  </w:style>
  <w:style w:type="character" w:styleId="ListLabel96">
    <w:name w:val="ListLabel 96"/>
    <w:qFormat/>
    <w:rPr>
      <w:sz w:val="20"/>
    </w:rPr>
  </w:style>
  <w:style w:type="character" w:styleId="ListLabel97">
    <w:name w:val="ListLabel 97"/>
    <w:qFormat/>
    <w:rPr>
      <w:sz w:val="20"/>
    </w:rPr>
  </w:style>
  <w:style w:type="character" w:styleId="ListLabel98">
    <w:name w:val="ListLabel 98"/>
    <w:qFormat/>
    <w:rPr>
      <w:sz w:val="20"/>
    </w:rPr>
  </w:style>
  <w:style w:type="character" w:styleId="ListLabel99">
    <w:name w:val="ListLabel 99"/>
    <w:qFormat/>
    <w:rPr>
      <w:sz w:val="20"/>
    </w:rPr>
  </w:style>
  <w:style w:type="character" w:styleId="ListLabel100">
    <w:name w:val="ListLabel 100"/>
    <w:qFormat/>
    <w:rPr>
      <w:rFonts w:ascii="Arial" w:hAnsi="Arial"/>
      <w:sz w:val="23"/>
    </w:rPr>
  </w:style>
  <w:style w:type="character" w:styleId="ListLabel101">
    <w:name w:val="ListLabel 101"/>
    <w:qFormat/>
    <w:rPr>
      <w:sz w:val="20"/>
    </w:rPr>
  </w:style>
  <w:style w:type="character" w:styleId="ListLabel102">
    <w:name w:val="ListLabel 102"/>
    <w:qFormat/>
    <w:rPr>
      <w:sz w:val="20"/>
    </w:rPr>
  </w:style>
  <w:style w:type="character" w:styleId="ListLabel103">
    <w:name w:val="ListLabel 103"/>
    <w:qFormat/>
    <w:rPr>
      <w:sz w:val="20"/>
    </w:rPr>
  </w:style>
  <w:style w:type="character" w:styleId="ListLabel104">
    <w:name w:val="ListLabel 104"/>
    <w:qFormat/>
    <w:rPr>
      <w:sz w:val="20"/>
    </w:rPr>
  </w:style>
  <w:style w:type="character" w:styleId="ListLabel105">
    <w:name w:val="ListLabel 105"/>
    <w:qFormat/>
    <w:rPr>
      <w:sz w:val="20"/>
    </w:rPr>
  </w:style>
  <w:style w:type="character" w:styleId="ListLabel106">
    <w:name w:val="ListLabel 106"/>
    <w:qFormat/>
    <w:rPr>
      <w:sz w:val="20"/>
    </w:rPr>
  </w:style>
  <w:style w:type="character" w:styleId="ListLabel107">
    <w:name w:val="ListLabel 107"/>
    <w:qFormat/>
    <w:rPr>
      <w:sz w:val="20"/>
    </w:rPr>
  </w:style>
  <w:style w:type="character" w:styleId="ListLabel108">
    <w:name w:val="ListLabel 108"/>
    <w:qFormat/>
    <w:rPr>
      <w:sz w:val="20"/>
    </w:rPr>
  </w:style>
  <w:style w:type="character" w:styleId="ListLabel109">
    <w:name w:val="ListLabel 109"/>
    <w:qFormat/>
    <w:rPr>
      <w:rFonts w:ascii="Arial" w:hAnsi="Arial"/>
      <w:sz w:val="23"/>
    </w:rPr>
  </w:style>
  <w:style w:type="character" w:styleId="ListLabel110">
    <w:name w:val="ListLabel 110"/>
    <w:qFormat/>
    <w:rPr>
      <w:sz w:val="20"/>
    </w:rPr>
  </w:style>
  <w:style w:type="character" w:styleId="ListLabel111">
    <w:name w:val="ListLabel 111"/>
    <w:qFormat/>
    <w:rPr>
      <w:sz w:val="20"/>
    </w:rPr>
  </w:style>
  <w:style w:type="character" w:styleId="ListLabel112">
    <w:name w:val="ListLabel 112"/>
    <w:qFormat/>
    <w:rPr>
      <w:sz w:val="20"/>
    </w:rPr>
  </w:style>
  <w:style w:type="character" w:styleId="ListLabel113">
    <w:name w:val="ListLabel 113"/>
    <w:qFormat/>
    <w:rPr>
      <w:sz w:val="20"/>
    </w:rPr>
  </w:style>
  <w:style w:type="character" w:styleId="ListLabel114">
    <w:name w:val="ListLabel 114"/>
    <w:qFormat/>
    <w:rPr>
      <w:sz w:val="20"/>
    </w:rPr>
  </w:style>
  <w:style w:type="character" w:styleId="ListLabel115">
    <w:name w:val="ListLabel 115"/>
    <w:qFormat/>
    <w:rPr>
      <w:sz w:val="20"/>
    </w:rPr>
  </w:style>
  <w:style w:type="character" w:styleId="ListLabel116">
    <w:name w:val="ListLabel 116"/>
    <w:qFormat/>
    <w:rPr>
      <w:sz w:val="20"/>
    </w:rPr>
  </w:style>
  <w:style w:type="character" w:styleId="ListLabel117">
    <w:name w:val="ListLabel 117"/>
    <w:qFormat/>
    <w:rPr>
      <w:sz w:val="20"/>
    </w:rPr>
  </w:style>
  <w:style w:type="character" w:styleId="ListLabel118">
    <w:name w:val="ListLabel 118"/>
    <w:qFormat/>
    <w:rPr>
      <w:rFonts w:ascii="Arial" w:hAnsi="Arial"/>
      <w:sz w:val="23"/>
    </w:rPr>
  </w:style>
  <w:style w:type="character" w:styleId="ListLabel119">
    <w:name w:val="ListLabel 119"/>
    <w:qFormat/>
    <w:rPr>
      <w:sz w:val="20"/>
    </w:rPr>
  </w:style>
  <w:style w:type="character" w:styleId="ListLabel120">
    <w:name w:val="ListLabel 120"/>
    <w:qFormat/>
    <w:rPr>
      <w:sz w:val="20"/>
    </w:rPr>
  </w:style>
  <w:style w:type="character" w:styleId="ListLabel121">
    <w:name w:val="ListLabel 121"/>
    <w:qFormat/>
    <w:rPr>
      <w:sz w:val="20"/>
    </w:rPr>
  </w:style>
  <w:style w:type="character" w:styleId="ListLabel122">
    <w:name w:val="ListLabel 122"/>
    <w:qFormat/>
    <w:rPr>
      <w:sz w:val="20"/>
    </w:rPr>
  </w:style>
  <w:style w:type="character" w:styleId="ListLabel123">
    <w:name w:val="ListLabel 123"/>
    <w:qFormat/>
    <w:rPr>
      <w:sz w:val="20"/>
    </w:rPr>
  </w:style>
  <w:style w:type="character" w:styleId="ListLabel124">
    <w:name w:val="ListLabel 124"/>
    <w:qFormat/>
    <w:rPr>
      <w:sz w:val="20"/>
    </w:rPr>
  </w:style>
  <w:style w:type="character" w:styleId="ListLabel125">
    <w:name w:val="ListLabel 125"/>
    <w:qFormat/>
    <w:rPr>
      <w:sz w:val="20"/>
    </w:rPr>
  </w:style>
  <w:style w:type="character" w:styleId="ListLabel126">
    <w:name w:val="ListLabel 126"/>
    <w:qFormat/>
    <w:rPr>
      <w:sz w:val="20"/>
    </w:rPr>
  </w:style>
  <w:style w:type="character" w:styleId="ListLabel127">
    <w:name w:val="ListLabel 127"/>
    <w:qFormat/>
    <w:rPr>
      <w:rFonts w:ascii="Arial" w:hAnsi="Arial"/>
      <w:sz w:val="23"/>
    </w:rPr>
  </w:style>
  <w:style w:type="character" w:styleId="ListLabel128">
    <w:name w:val="ListLabel 128"/>
    <w:qFormat/>
    <w:rPr>
      <w:sz w:val="20"/>
    </w:rPr>
  </w:style>
  <w:style w:type="character" w:styleId="ListLabel129">
    <w:name w:val="ListLabel 129"/>
    <w:qFormat/>
    <w:rPr>
      <w:sz w:val="20"/>
    </w:rPr>
  </w:style>
  <w:style w:type="character" w:styleId="ListLabel130">
    <w:name w:val="ListLabel 130"/>
    <w:qFormat/>
    <w:rPr>
      <w:sz w:val="20"/>
    </w:rPr>
  </w:style>
  <w:style w:type="character" w:styleId="ListLabel131">
    <w:name w:val="ListLabel 131"/>
    <w:qFormat/>
    <w:rPr>
      <w:sz w:val="20"/>
    </w:rPr>
  </w:style>
  <w:style w:type="character" w:styleId="ListLabel132">
    <w:name w:val="ListLabel 132"/>
    <w:qFormat/>
    <w:rPr>
      <w:sz w:val="20"/>
    </w:rPr>
  </w:style>
  <w:style w:type="character" w:styleId="ListLabel133">
    <w:name w:val="ListLabel 133"/>
    <w:qFormat/>
    <w:rPr>
      <w:sz w:val="20"/>
    </w:rPr>
  </w:style>
  <w:style w:type="character" w:styleId="ListLabel134">
    <w:name w:val="ListLabel 134"/>
    <w:qFormat/>
    <w:rPr>
      <w:sz w:val="20"/>
    </w:rPr>
  </w:style>
  <w:style w:type="character" w:styleId="ListLabel135">
    <w:name w:val="ListLabel 135"/>
    <w:qFormat/>
    <w:rPr>
      <w:sz w:val="20"/>
    </w:rPr>
  </w:style>
  <w:style w:type="character" w:styleId="ListLabel136">
    <w:name w:val="ListLabel 136"/>
    <w:qFormat/>
    <w:rPr>
      <w:rFonts w:ascii="Arial" w:hAnsi="Arial"/>
      <w:sz w:val="23"/>
    </w:rPr>
  </w:style>
  <w:style w:type="character" w:styleId="ListLabel137">
    <w:name w:val="ListLabel 137"/>
    <w:qFormat/>
    <w:rPr>
      <w:sz w:val="20"/>
    </w:rPr>
  </w:style>
  <w:style w:type="character" w:styleId="ListLabel138">
    <w:name w:val="ListLabel 138"/>
    <w:qFormat/>
    <w:rPr>
      <w:sz w:val="20"/>
    </w:rPr>
  </w:style>
  <w:style w:type="character" w:styleId="ListLabel139">
    <w:name w:val="ListLabel 139"/>
    <w:qFormat/>
    <w:rPr>
      <w:sz w:val="20"/>
    </w:rPr>
  </w:style>
  <w:style w:type="character" w:styleId="ListLabel140">
    <w:name w:val="ListLabel 140"/>
    <w:qFormat/>
    <w:rPr>
      <w:sz w:val="20"/>
    </w:rPr>
  </w:style>
  <w:style w:type="character" w:styleId="ListLabel141">
    <w:name w:val="ListLabel 141"/>
    <w:qFormat/>
    <w:rPr>
      <w:sz w:val="20"/>
    </w:rPr>
  </w:style>
  <w:style w:type="character" w:styleId="ListLabel142">
    <w:name w:val="ListLabel 142"/>
    <w:qFormat/>
    <w:rPr>
      <w:sz w:val="20"/>
    </w:rPr>
  </w:style>
  <w:style w:type="character" w:styleId="ListLabel143">
    <w:name w:val="ListLabel 143"/>
    <w:qFormat/>
    <w:rPr>
      <w:sz w:val="20"/>
    </w:rPr>
  </w:style>
  <w:style w:type="character" w:styleId="ListLabel144">
    <w:name w:val="ListLabel 144"/>
    <w:qFormat/>
    <w:rPr>
      <w:sz w:val="20"/>
    </w:rPr>
  </w:style>
  <w:style w:type="character" w:styleId="ListLabel145">
    <w:name w:val="ListLabel 145"/>
    <w:qFormat/>
    <w:rPr>
      <w:rFonts w:ascii="Arial" w:hAnsi="Arial"/>
      <w:sz w:val="23"/>
    </w:rPr>
  </w:style>
  <w:style w:type="character" w:styleId="ListLabel146">
    <w:name w:val="ListLabel 146"/>
    <w:qFormat/>
    <w:rPr>
      <w:sz w:val="20"/>
    </w:rPr>
  </w:style>
  <w:style w:type="character" w:styleId="ListLabel147">
    <w:name w:val="ListLabel 147"/>
    <w:qFormat/>
    <w:rPr>
      <w:sz w:val="20"/>
    </w:rPr>
  </w:style>
  <w:style w:type="character" w:styleId="ListLabel148">
    <w:name w:val="ListLabel 148"/>
    <w:qFormat/>
    <w:rPr>
      <w:sz w:val="20"/>
    </w:rPr>
  </w:style>
  <w:style w:type="character" w:styleId="ListLabel149">
    <w:name w:val="ListLabel 149"/>
    <w:qFormat/>
    <w:rPr>
      <w:sz w:val="20"/>
    </w:rPr>
  </w:style>
  <w:style w:type="character" w:styleId="ListLabel150">
    <w:name w:val="ListLabel 150"/>
    <w:qFormat/>
    <w:rPr>
      <w:sz w:val="20"/>
    </w:rPr>
  </w:style>
  <w:style w:type="character" w:styleId="ListLabel151">
    <w:name w:val="ListLabel 151"/>
    <w:qFormat/>
    <w:rPr>
      <w:sz w:val="20"/>
    </w:rPr>
  </w:style>
  <w:style w:type="character" w:styleId="ListLabel152">
    <w:name w:val="ListLabel 152"/>
    <w:qFormat/>
    <w:rPr>
      <w:sz w:val="20"/>
    </w:rPr>
  </w:style>
  <w:style w:type="character" w:styleId="ListLabel153">
    <w:name w:val="ListLabel 153"/>
    <w:qFormat/>
    <w:rPr>
      <w:sz w:val="20"/>
    </w:rPr>
  </w:style>
  <w:style w:type="character" w:styleId="ListLabel154">
    <w:name w:val="ListLabel 154"/>
    <w:qFormat/>
    <w:rPr>
      <w:rFonts w:ascii="Arial" w:hAnsi="Arial"/>
      <w:sz w:val="23"/>
    </w:rPr>
  </w:style>
  <w:style w:type="character" w:styleId="ListLabel155">
    <w:name w:val="ListLabel 155"/>
    <w:qFormat/>
    <w:rPr>
      <w:sz w:val="20"/>
    </w:rPr>
  </w:style>
  <w:style w:type="character" w:styleId="ListLabel156">
    <w:name w:val="ListLabel 156"/>
    <w:qFormat/>
    <w:rPr>
      <w:sz w:val="20"/>
    </w:rPr>
  </w:style>
  <w:style w:type="character" w:styleId="ListLabel157">
    <w:name w:val="ListLabel 157"/>
    <w:qFormat/>
    <w:rPr>
      <w:sz w:val="20"/>
    </w:rPr>
  </w:style>
  <w:style w:type="character" w:styleId="ListLabel158">
    <w:name w:val="ListLabel 158"/>
    <w:qFormat/>
    <w:rPr>
      <w:sz w:val="20"/>
    </w:rPr>
  </w:style>
  <w:style w:type="character" w:styleId="ListLabel159">
    <w:name w:val="ListLabel 159"/>
    <w:qFormat/>
    <w:rPr>
      <w:sz w:val="20"/>
    </w:rPr>
  </w:style>
  <w:style w:type="character" w:styleId="ListLabel160">
    <w:name w:val="ListLabel 160"/>
    <w:qFormat/>
    <w:rPr>
      <w:sz w:val="20"/>
    </w:rPr>
  </w:style>
  <w:style w:type="character" w:styleId="ListLabel161">
    <w:name w:val="ListLabel 161"/>
    <w:qFormat/>
    <w:rPr>
      <w:sz w:val="20"/>
    </w:rPr>
  </w:style>
  <w:style w:type="character" w:styleId="ListLabel162">
    <w:name w:val="ListLabel 162"/>
    <w:qFormat/>
    <w:rPr>
      <w:sz w:val="20"/>
    </w:rPr>
  </w:style>
  <w:style w:type="character" w:styleId="ListLabel163">
    <w:name w:val="ListLabel 163"/>
    <w:qFormat/>
    <w:rPr>
      <w:rFonts w:ascii="Arial" w:hAnsi="Arial"/>
      <w:sz w:val="23"/>
    </w:rPr>
  </w:style>
  <w:style w:type="character" w:styleId="ListLabel164">
    <w:name w:val="ListLabel 164"/>
    <w:qFormat/>
    <w:rPr>
      <w:sz w:val="20"/>
    </w:rPr>
  </w:style>
  <w:style w:type="character" w:styleId="ListLabel165">
    <w:name w:val="ListLabel 165"/>
    <w:qFormat/>
    <w:rPr>
      <w:sz w:val="20"/>
    </w:rPr>
  </w:style>
  <w:style w:type="character" w:styleId="ListLabel166">
    <w:name w:val="ListLabel 166"/>
    <w:qFormat/>
    <w:rPr>
      <w:sz w:val="20"/>
    </w:rPr>
  </w:style>
  <w:style w:type="character" w:styleId="ListLabel167">
    <w:name w:val="ListLabel 167"/>
    <w:qFormat/>
    <w:rPr>
      <w:sz w:val="20"/>
    </w:rPr>
  </w:style>
  <w:style w:type="character" w:styleId="ListLabel168">
    <w:name w:val="ListLabel 168"/>
    <w:qFormat/>
    <w:rPr>
      <w:sz w:val="20"/>
    </w:rPr>
  </w:style>
  <w:style w:type="character" w:styleId="ListLabel169">
    <w:name w:val="ListLabel 169"/>
    <w:qFormat/>
    <w:rPr>
      <w:sz w:val="20"/>
    </w:rPr>
  </w:style>
  <w:style w:type="character" w:styleId="ListLabel170">
    <w:name w:val="ListLabel 170"/>
    <w:qFormat/>
    <w:rPr>
      <w:sz w:val="20"/>
    </w:rPr>
  </w:style>
  <w:style w:type="character" w:styleId="ListLabel171">
    <w:name w:val="ListLabel 171"/>
    <w:qFormat/>
    <w:rPr>
      <w:sz w:val="20"/>
    </w:rPr>
  </w:style>
  <w:style w:type="character" w:styleId="ListLabel172">
    <w:name w:val="ListLabel 172"/>
    <w:qFormat/>
    <w:rPr>
      <w:rFonts w:ascii="Arial" w:hAnsi="Arial"/>
      <w:sz w:val="23"/>
    </w:rPr>
  </w:style>
  <w:style w:type="character" w:styleId="ListLabel173">
    <w:name w:val="ListLabel 173"/>
    <w:qFormat/>
    <w:rPr>
      <w:sz w:val="20"/>
    </w:rPr>
  </w:style>
  <w:style w:type="character" w:styleId="ListLabel174">
    <w:name w:val="ListLabel 174"/>
    <w:qFormat/>
    <w:rPr>
      <w:sz w:val="20"/>
    </w:rPr>
  </w:style>
  <w:style w:type="character" w:styleId="ListLabel175">
    <w:name w:val="ListLabel 175"/>
    <w:qFormat/>
    <w:rPr>
      <w:sz w:val="20"/>
    </w:rPr>
  </w:style>
  <w:style w:type="character" w:styleId="ListLabel176">
    <w:name w:val="ListLabel 176"/>
    <w:qFormat/>
    <w:rPr>
      <w:sz w:val="20"/>
    </w:rPr>
  </w:style>
  <w:style w:type="character" w:styleId="ListLabel177">
    <w:name w:val="ListLabel 177"/>
    <w:qFormat/>
    <w:rPr>
      <w:sz w:val="20"/>
    </w:rPr>
  </w:style>
  <w:style w:type="character" w:styleId="ListLabel178">
    <w:name w:val="ListLabel 178"/>
    <w:qFormat/>
    <w:rPr>
      <w:sz w:val="20"/>
    </w:rPr>
  </w:style>
  <w:style w:type="character" w:styleId="ListLabel179">
    <w:name w:val="ListLabel 179"/>
    <w:qFormat/>
    <w:rPr>
      <w:sz w:val="20"/>
    </w:rPr>
  </w:style>
  <w:style w:type="character" w:styleId="ListLabel180">
    <w:name w:val="ListLabel 180"/>
    <w:qFormat/>
    <w:rPr>
      <w:sz w:val="20"/>
    </w:rPr>
  </w:style>
  <w:style w:type="character" w:styleId="ListLabel181">
    <w:name w:val="ListLabel 181"/>
    <w:qFormat/>
    <w:rPr>
      <w:rFonts w:ascii="Arial" w:hAnsi="Arial"/>
      <w:sz w:val="23"/>
    </w:rPr>
  </w:style>
  <w:style w:type="character" w:styleId="ListLabel182">
    <w:name w:val="ListLabel 182"/>
    <w:qFormat/>
    <w:rPr>
      <w:sz w:val="20"/>
    </w:rPr>
  </w:style>
  <w:style w:type="character" w:styleId="ListLabel183">
    <w:name w:val="ListLabel 183"/>
    <w:qFormat/>
    <w:rPr>
      <w:sz w:val="20"/>
    </w:rPr>
  </w:style>
  <w:style w:type="character" w:styleId="ListLabel184">
    <w:name w:val="ListLabel 184"/>
    <w:qFormat/>
    <w:rPr>
      <w:sz w:val="20"/>
    </w:rPr>
  </w:style>
  <w:style w:type="character" w:styleId="ListLabel185">
    <w:name w:val="ListLabel 185"/>
    <w:qFormat/>
    <w:rPr>
      <w:sz w:val="20"/>
    </w:rPr>
  </w:style>
  <w:style w:type="character" w:styleId="ListLabel186">
    <w:name w:val="ListLabel 186"/>
    <w:qFormat/>
    <w:rPr>
      <w:sz w:val="20"/>
    </w:rPr>
  </w:style>
  <w:style w:type="character" w:styleId="ListLabel187">
    <w:name w:val="ListLabel 187"/>
    <w:qFormat/>
    <w:rPr>
      <w:sz w:val="20"/>
    </w:rPr>
  </w:style>
  <w:style w:type="character" w:styleId="ListLabel188">
    <w:name w:val="ListLabel 188"/>
    <w:qFormat/>
    <w:rPr>
      <w:sz w:val="20"/>
    </w:rPr>
  </w:style>
  <w:style w:type="character" w:styleId="ListLabel189">
    <w:name w:val="ListLabel 189"/>
    <w:qFormat/>
    <w:rPr>
      <w:sz w:val="20"/>
    </w:rPr>
  </w:style>
  <w:style w:type="character" w:styleId="ListLabel190">
    <w:name w:val="ListLabel 190"/>
    <w:qFormat/>
    <w:rPr>
      <w:rFonts w:ascii="Arial" w:hAnsi="Arial"/>
      <w:sz w:val="23"/>
    </w:rPr>
  </w:style>
  <w:style w:type="character" w:styleId="ListLabel191">
    <w:name w:val="ListLabel 191"/>
    <w:qFormat/>
    <w:rPr>
      <w:sz w:val="20"/>
    </w:rPr>
  </w:style>
  <w:style w:type="character" w:styleId="ListLabel192">
    <w:name w:val="ListLabel 192"/>
    <w:qFormat/>
    <w:rPr>
      <w:sz w:val="20"/>
    </w:rPr>
  </w:style>
  <w:style w:type="character" w:styleId="ListLabel193">
    <w:name w:val="ListLabel 193"/>
    <w:qFormat/>
    <w:rPr>
      <w:sz w:val="20"/>
    </w:rPr>
  </w:style>
  <w:style w:type="character" w:styleId="ListLabel194">
    <w:name w:val="ListLabel 194"/>
    <w:qFormat/>
    <w:rPr>
      <w:sz w:val="20"/>
    </w:rPr>
  </w:style>
  <w:style w:type="character" w:styleId="ListLabel195">
    <w:name w:val="ListLabel 195"/>
    <w:qFormat/>
    <w:rPr>
      <w:sz w:val="20"/>
    </w:rPr>
  </w:style>
  <w:style w:type="character" w:styleId="ListLabel196">
    <w:name w:val="ListLabel 196"/>
    <w:qFormat/>
    <w:rPr>
      <w:sz w:val="20"/>
    </w:rPr>
  </w:style>
  <w:style w:type="character" w:styleId="ListLabel197">
    <w:name w:val="ListLabel 197"/>
    <w:qFormat/>
    <w:rPr>
      <w:sz w:val="20"/>
    </w:rPr>
  </w:style>
  <w:style w:type="character" w:styleId="ListLabel198">
    <w:name w:val="ListLabel 198"/>
    <w:qFormat/>
    <w:rPr>
      <w:sz w:val="20"/>
    </w:rPr>
  </w:style>
  <w:style w:type="character" w:styleId="ListLabel199">
    <w:name w:val="ListLabel 199"/>
    <w:qFormat/>
    <w:rPr>
      <w:rFonts w:ascii="Arial" w:hAnsi="Arial"/>
      <w:sz w:val="23"/>
    </w:rPr>
  </w:style>
  <w:style w:type="character" w:styleId="ListLabel200">
    <w:name w:val="ListLabel 200"/>
    <w:qFormat/>
    <w:rPr>
      <w:sz w:val="20"/>
    </w:rPr>
  </w:style>
  <w:style w:type="character" w:styleId="ListLabel201">
    <w:name w:val="ListLabel 201"/>
    <w:qFormat/>
    <w:rPr>
      <w:sz w:val="20"/>
    </w:rPr>
  </w:style>
  <w:style w:type="character" w:styleId="ListLabel202">
    <w:name w:val="ListLabel 202"/>
    <w:qFormat/>
    <w:rPr>
      <w:sz w:val="20"/>
    </w:rPr>
  </w:style>
  <w:style w:type="character" w:styleId="ListLabel203">
    <w:name w:val="ListLabel 203"/>
    <w:qFormat/>
    <w:rPr>
      <w:sz w:val="20"/>
    </w:rPr>
  </w:style>
  <w:style w:type="character" w:styleId="ListLabel204">
    <w:name w:val="ListLabel 204"/>
    <w:qFormat/>
    <w:rPr>
      <w:sz w:val="20"/>
    </w:rPr>
  </w:style>
  <w:style w:type="character" w:styleId="ListLabel205">
    <w:name w:val="ListLabel 205"/>
    <w:qFormat/>
    <w:rPr>
      <w:sz w:val="20"/>
    </w:rPr>
  </w:style>
  <w:style w:type="character" w:styleId="ListLabel206">
    <w:name w:val="ListLabel 206"/>
    <w:qFormat/>
    <w:rPr>
      <w:sz w:val="20"/>
    </w:rPr>
  </w:style>
  <w:style w:type="character" w:styleId="ListLabel207">
    <w:name w:val="ListLabel 207"/>
    <w:qFormat/>
    <w:rPr>
      <w:sz w:val="20"/>
    </w:rPr>
  </w:style>
  <w:style w:type="character" w:styleId="ListLabel208">
    <w:name w:val="ListLabel 208"/>
    <w:qFormat/>
    <w:rPr>
      <w:rFonts w:ascii="Arial" w:hAnsi="Arial"/>
      <w:sz w:val="23"/>
    </w:rPr>
  </w:style>
  <w:style w:type="character" w:styleId="ListLabel209">
    <w:name w:val="ListLabel 209"/>
    <w:qFormat/>
    <w:rPr>
      <w:sz w:val="20"/>
    </w:rPr>
  </w:style>
  <w:style w:type="character" w:styleId="ListLabel210">
    <w:name w:val="ListLabel 210"/>
    <w:qFormat/>
    <w:rPr>
      <w:sz w:val="20"/>
    </w:rPr>
  </w:style>
  <w:style w:type="character" w:styleId="ListLabel211">
    <w:name w:val="ListLabel 211"/>
    <w:qFormat/>
    <w:rPr>
      <w:sz w:val="20"/>
    </w:rPr>
  </w:style>
  <w:style w:type="character" w:styleId="ListLabel212">
    <w:name w:val="ListLabel 212"/>
    <w:qFormat/>
    <w:rPr>
      <w:sz w:val="20"/>
    </w:rPr>
  </w:style>
  <w:style w:type="character" w:styleId="ListLabel213">
    <w:name w:val="ListLabel 213"/>
    <w:qFormat/>
    <w:rPr>
      <w:sz w:val="20"/>
    </w:rPr>
  </w:style>
  <w:style w:type="character" w:styleId="ListLabel214">
    <w:name w:val="ListLabel 214"/>
    <w:qFormat/>
    <w:rPr>
      <w:sz w:val="20"/>
    </w:rPr>
  </w:style>
  <w:style w:type="character" w:styleId="ListLabel215">
    <w:name w:val="ListLabel 215"/>
    <w:qFormat/>
    <w:rPr>
      <w:sz w:val="20"/>
    </w:rPr>
  </w:style>
  <w:style w:type="character" w:styleId="ListLabel216">
    <w:name w:val="ListLabel 216"/>
    <w:qFormat/>
    <w:rPr>
      <w:sz w:val="20"/>
    </w:rPr>
  </w:style>
  <w:style w:type="character" w:styleId="ListLabel217">
    <w:name w:val="ListLabel 217"/>
    <w:qFormat/>
    <w:rPr>
      <w:rFonts w:ascii="Arial" w:hAnsi="Arial"/>
      <w:sz w:val="23"/>
    </w:rPr>
  </w:style>
  <w:style w:type="character" w:styleId="ListLabel218">
    <w:name w:val="ListLabel 218"/>
    <w:qFormat/>
    <w:rPr>
      <w:sz w:val="20"/>
    </w:rPr>
  </w:style>
  <w:style w:type="character" w:styleId="ListLabel219">
    <w:name w:val="ListLabel 219"/>
    <w:qFormat/>
    <w:rPr>
      <w:sz w:val="20"/>
    </w:rPr>
  </w:style>
  <w:style w:type="character" w:styleId="ListLabel220">
    <w:name w:val="ListLabel 220"/>
    <w:qFormat/>
    <w:rPr>
      <w:sz w:val="20"/>
    </w:rPr>
  </w:style>
  <w:style w:type="character" w:styleId="ListLabel221">
    <w:name w:val="ListLabel 221"/>
    <w:qFormat/>
    <w:rPr>
      <w:sz w:val="20"/>
    </w:rPr>
  </w:style>
  <w:style w:type="character" w:styleId="ListLabel222">
    <w:name w:val="ListLabel 222"/>
    <w:qFormat/>
    <w:rPr>
      <w:sz w:val="20"/>
    </w:rPr>
  </w:style>
  <w:style w:type="character" w:styleId="ListLabel223">
    <w:name w:val="ListLabel 223"/>
    <w:qFormat/>
    <w:rPr>
      <w:sz w:val="20"/>
    </w:rPr>
  </w:style>
  <w:style w:type="character" w:styleId="ListLabel224">
    <w:name w:val="ListLabel 224"/>
    <w:qFormat/>
    <w:rPr>
      <w:sz w:val="20"/>
    </w:rPr>
  </w:style>
  <w:style w:type="character" w:styleId="ListLabel225">
    <w:name w:val="ListLabel 225"/>
    <w:qFormat/>
    <w:rPr>
      <w:sz w:val="20"/>
    </w:rPr>
  </w:style>
  <w:style w:type="character" w:styleId="ListLabel226">
    <w:name w:val="ListLabel 226"/>
    <w:qFormat/>
    <w:rPr>
      <w:rFonts w:ascii="Arial" w:hAnsi="Arial"/>
      <w:sz w:val="23"/>
    </w:rPr>
  </w:style>
  <w:style w:type="character" w:styleId="ListLabel227">
    <w:name w:val="ListLabel 227"/>
    <w:qFormat/>
    <w:rPr>
      <w:sz w:val="20"/>
    </w:rPr>
  </w:style>
  <w:style w:type="character" w:styleId="ListLabel228">
    <w:name w:val="ListLabel 228"/>
    <w:qFormat/>
    <w:rPr>
      <w:sz w:val="20"/>
    </w:rPr>
  </w:style>
  <w:style w:type="character" w:styleId="ListLabel229">
    <w:name w:val="ListLabel 229"/>
    <w:qFormat/>
    <w:rPr>
      <w:sz w:val="20"/>
    </w:rPr>
  </w:style>
  <w:style w:type="character" w:styleId="ListLabel230">
    <w:name w:val="ListLabel 230"/>
    <w:qFormat/>
    <w:rPr>
      <w:sz w:val="20"/>
    </w:rPr>
  </w:style>
  <w:style w:type="character" w:styleId="ListLabel231">
    <w:name w:val="ListLabel 231"/>
    <w:qFormat/>
    <w:rPr>
      <w:sz w:val="20"/>
    </w:rPr>
  </w:style>
  <w:style w:type="character" w:styleId="ListLabel232">
    <w:name w:val="ListLabel 232"/>
    <w:qFormat/>
    <w:rPr>
      <w:sz w:val="20"/>
    </w:rPr>
  </w:style>
  <w:style w:type="character" w:styleId="ListLabel233">
    <w:name w:val="ListLabel 233"/>
    <w:qFormat/>
    <w:rPr>
      <w:sz w:val="20"/>
    </w:rPr>
  </w:style>
  <w:style w:type="character" w:styleId="ListLabel234">
    <w:name w:val="ListLabel 234"/>
    <w:qFormat/>
    <w:rPr>
      <w:sz w:val="20"/>
    </w:rPr>
  </w:style>
  <w:style w:type="character" w:styleId="ListLabel235">
    <w:name w:val="ListLabel 235"/>
    <w:qFormat/>
    <w:rPr>
      <w:rFonts w:ascii="Arial" w:hAnsi="Arial"/>
      <w:sz w:val="23"/>
    </w:rPr>
  </w:style>
  <w:style w:type="character" w:styleId="ListLabel236">
    <w:name w:val="ListLabel 236"/>
    <w:qFormat/>
    <w:rPr>
      <w:sz w:val="20"/>
    </w:rPr>
  </w:style>
  <w:style w:type="character" w:styleId="ListLabel237">
    <w:name w:val="ListLabel 237"/>
    <w:qFormat/>
    <w:rPr>
      <w:sz w:val="20"/>
    </w:rPr>
  </w:style>
  <w:style w:type="character" w:styleId="ListLabel238">
    <w:name w:val="ListLabel 238"/>
    <w:qFormat/>
    <w:rPr>
      <w:sz w:val="20"/>
    </w:rPr>
  </w:style>
  <w:style w:type="character" w:styleId="ListLabel239">
    <w:name w:val="ListLabel 239"/>
    <w:qFormat/>
    <w:rPr>
      <w:sz w:val="20"/>
    </w:rPr>
  </w:style>
  <w:style w:type="character" w:styleId="ListLabel240">
    <w:name w:val="ListLabel 240"/>
    <w:qFormat/>
    <w:rPr>
      <w:sz w:val="20"/>
    </w:rPr>
  </w:style>
  <w:style w:type="character" w:styleId="ListLabel241">
    <w:name w:val="ListLabel 241"/>
    <w:qFormat/>
    <w:rPr>
      <w:sz w:val="20"/>
    </w:rPr>
  </w:style>
  <w:style w:type="character" w:styleId="ListLabel242">
    <w:name w:val="ListLabel 242"/>
    <w:qFormat/>
    <w:rPr>
      <w:sz w:val="20"/>
    </w:rPr>
  </w:style>
  <w:style w:type="character" w:styleId="ListLabel243">
    <w:name w:val="ListLabel 243"/>
    <w:qFormat/>
    <w:rPr>
      <w:sz w:val="20"/>
    </w:rPr>
  </w:style>
  <w:style w:type="character" w:styleId="ListLabel244">
    <w:name w:val="ListLabel 244"/>
    <w:qFormat/>
    <w:rPr>
      <w:rFonts w:ascii="Arial" w:hAnsi="Arial"/>
      <w:sz w:val="23"/>
    </w:rPr>
  </w:style>
  <w:style w:type="character" w:styleId="ListLabel245">
    <w:name w:val="ListLabel 245"/>
    <w:qFormat/>
    <w:rPr>
      <w:sz w:val="20"/>
    </w:rPr>
  </w:style>
  <w:style w:type="character" w:styleId="ListLabel246">
    <w:name w:val="ListLabel 246"/>
    <w:qFormat/>
    <w:rPr>
      <w:sz w:val="20"/>
    </w:rPr>
  </w:style>
  <w:style w:type="character" w:styleId="ListLabel247">
    <w:name w:val="ListLabel 247"/>
    <w:qFormat/>
    <w:rPr>
      <w:sz w:val="20"/>
    </w:rPr>
  </w:style>
  <w:style w:type="character" w:styleId="ListLabel248">
    <w:name w:val="ListLabel 248"/>
    <w:qFormat/>
    <w:rPr>
      <w:sz w:val="20"/>
    </w:rPr>
  </w:style>
  <w:style w:type="character" w:styleId="ListLabel249">
    <w:name w:val="ListLabel 249"/>
    <w:qFormat/>
    <w:rPr>
      <w:sz w:val="20"/>
    </w:rPr>
  </w:style>
  <w:style w:type="character" w:styleId="ListLabel250">
    <w:name w:val="ListLabel 250"/>
    <w:qFormat/>
    <w:rPr>
      <w:sz w:val="20"/>
    </w:rPr>
  </w:style>
  <w:style w:type="character" w:styleId="ListLabel251">
    <w:name w:val="ListLabel 251"/>
    <w:qFormat/>
    <w:rPr>
      <w:sz w:val="20"/>
    </w:rPr>
  </w:style>
  <w:style w:type="character" w:styleId="ListLabel252">
    <w:name w:val="ListLabel 252"/>
    <w:qFormat/>
    <w:rPr>
      <w:sz w:val="20"/>
    </w:rPr>
  </w:style>
  <w:style w:type="character" w:styleId="ListLabel253">
    <w:name w:val="ListLabel 253"/>
    <w:qFormat/>
    <w:rPr>
      <w:rFonts w:ascii="Arial" w:hAnsi="Arial"/>
      <w:sz w:val="23"/>
    </w:rPr>
  </w:style>
  <w:style w:type="character" w:styleId="ListLabel254">
    <w:name w:val="ListLabel 254"/>
    <w:qFormat/>
    <w:rPr>
      <w:sz w:val="20"/>
    </w:rPr>
  </w:style>
  <w:style w:type="character" w:styleId="ListLabel255">
    <w:name w:val="ListLabel 255"/>
    <w:qFormat/>
    <w:rPr>
      <w:sz w:val="20"/>
    </w:rPr>
  </w:style>
  <w:style w:type="character" w:styleId="ListLabel256">
    <w:name w:val="ListLabel 256"/>
    <w:qFormat/>
    <w:rPr>
      <w:sz w:val="20"/>
    </w:rPr>
  </w:style>
  <w:style w:type="character" w:styleId="ListLabel257">
    <w:name w:val="ListLabel 257"/>
    <w:qFormat/>
    <w:rPr>
      <w:sz w:val="20"/>
    </w:rPr>
  </w:style>
  <w:style w:type="character" w:styleId="ListLabel258">
    <w:name w:val="ListLabel 258"/>
    <w:qFormat/>
    <w:rPr>
      <w:sz w:val="20"/>
    </w:rPr>
  </w:style>
  <w:style w:type="character" w:styleId="ListLabel259">
    <w:name w:val="ListLabel 259"/>
    <w:qFormat/>
    <w:rPr>
      <w:sz w:val="20"/>
    </w:rPr>
  </w:style>
  <w:style w:type="character" w:styleId="ListLabel260">
    <w:name w:val="ListLabel 260"/>
    <w:qFormat/>
    <w:rPr>
      <w:sz w:val="20"/>
    </w:rPr>
  </w:style>
  <w:style w:type="character" w:styleId="ListLabel261">
    <w:name w:val="ListLabel 261"/>
    <w:qFormat/>
    <w:rPr>
      <w:sz w:val="20"/>
    </w:rPr>
  </w:style>
  <w:style w:type="character" w:styleId="ListLabel262">
    <w:name w:val="ListLabel 262"/>
    <w:qFormat/>
    <w:rPr>
      <w:rFonts w:ascii="Arial" w:hAnsi="Arial"/>
      <w:sz w:val="23"/>
    </w:rPr>
  </w:style>
  <w:style w:type="character" w:styleId="ListLabel263">
    <w:name w:val="ListLabel 263"/>
    <w:qFormat/>
    <w:rPr>
      <w:sz w:val="20"/>
    </w:rPr>
  </w:style>
  <w:style w:type="character" w:styleId="ListLabel264">
    <w:name w:val="ListLabel 264"/>
    <w:qFormat/>
    <w:rPr>
      <w:sz w:val="20"/>
    </w:rPr>
  </w:style>
  <w:style w:type="character" w:styleId="ListLabel265">
    <w:name w:val="ListLabel 265"/>
    <w:qFormat/>
    <w:rPr>
      <w:sz w:val="20"/>
    </w:rPr>
  </w:style>
  <w:style w:type="character" w:styleId="ListLabel266">
    <w:name w:val="ListLabel 266"/>
    <w:qFormat/>
    <w:rPr>
      <w:sz w:val="20"/>
    </w:rPr>
  </w:style>
  <w:style w:type="character" w:styleId="ListLabel267">
    <w:name w:val="ListLabel 267"/>
    <w:qFormat/>
    <w:rPr>
      <w:sz w:val="20"/>
    </w:rPr>
  </w:style>
  <w:style w:type="character" w:styleId="ListLabel268">
    <w:name w:val="ListLabel 268"/>
    <w:qFormat/>
    <w:rPr>
      <w:sz w:val="20"/>
    </w:rPr>
  </w:style>
  <w:style w:type="character" w:styleId="ListLabel269">
    <w:name w:val="ListLabel 269"/>
    <w:qFormat/>
    <w:rPr>
      <w:sz w:val="20"/>
    </w:rPr>
  </w:style>
  <w:style w:type="character" w:styleId="ListLabel270">
    <w:name w:val="ListLabel 270"/>
    <w:qFormat/>
    <w:rPr>
      <w:sz w:val="20"/>
    </w:rPr>
  </w:style>
  <w:style w:type="character" w:styleId="ListLabel271">
    <w:name w:val="ListLabel 271"/>
    <w:qFormat/>
    <w:rPr>
      <w:rFonts w:ascii="Arial" w:hAnsi="Arial"/>
      <w:sz w:val="23"/>
    </w:rPr>
  </w:style>
  <w:style w:type="character" w:styleId="ListLabel272">
    <w:name w:val="ListLabel 272"/>
    <w:qFormat/>
    <w:rPr>
      <w:sz w:val="20"/>
    </w:rPr>
  </w:style>
  <w:style w:type="character" w:styleId="ListLabel273">
    <w:name w:val="ListLabel 273"/>
    <w:qFormat/>
    <w:rPr>
      <w:sz w:val="20"/>
    </w:rPr>
  </w:style>
  <w:style w:type="character" w:styleId="ListLabel274">
    <w:name w:val="ListLabel 274"/>
    <w:qFormat/>
    <w:rPr>
      <w:sz w:val="20"/>
    </w:rPr>
  </w:style>
  <w:style w:type="character" w:styleId="ListLabel275">
    <w:name w:val="ListLabel 275"/>
    <w:qFormat/>
    <w:rPr>
      <w:sz w:val="20"/>
    </w:rPr>
  </w:style>
  <w:style w:type="character" w:styleId="ListLabel276">
    <w:name w:val="ListLabel 276"/>
    <w:qFormat/>
    <w:rPr>
      <w:sz w:val="20"/>
    </w:rPr>
  </w:style>
  <w:style w:type="character" w:styleId="ListLabel277">
    <w:name w:val="ListLabel 277"/>
    <w:qFormat/>
    <w:rPr>
      <w:sz w:val="20"/>
    </w:rPr>
  </w:style>
  <w:style w:type="character" w:styleId="ListLabel278">
    <w:name w:val="ListLabel 278"/>
    <w:qFormat/>
    <w:rPr>
      <w:sz w:val="20"/>
    </w:rPr>
  </w:style>
  <w:style w:type="character" w:styleId="ListLabel279">
    <w:name w:val="ListLabel 279"/>
    <w:qFormat/>
    <w:rPr>
      <w:sz w:val="20"/>
    </w:rPr>
  </w:style>
  <w:style w:type="character" w:styleId="ListLabel280">
    <w:name w:val="ListLabel 280"/>
    <w:qFormat/>
    <w:rPr>
      <w:rFonts w:ascii="Arial" w:hAnsi="Arial"/>
      <w:sz w:val="23"/>
    </w:rPr>
  </w:style>
  <w:style w:type="character" w:styleId="ListLabel281">
    <w:name w:val="ListLabel 281"/>
    <w:qFormat/>
    <w:rPr>
      <w:sz w:val="20"/>
    </w:rPr>
  </w:style>
  <w:style w:type="character" w:styleId="ListLabel282">
    <w:name w:val="ListLabel 282"/>
    <w:qFormat/>
    <w:rPr>
      <w:sz w:val="20"/>
    </w:rPr>
  </w:style>
  <w:style w:type="character" w:styleId="ListLabel283">
    <w:name w:val="ListLabel 283"/>
    <w:qFormat/>
    <w:rPr>
      <w:sz w:val="20"/>
    </w:rPr>
  </w:style>
  <w:style w:type="character" w:styleId="ListLabel284">
    <w:name w:val="ListLabel 284"/>
    <w:qFormat/>
    <w:rPr>
      <w:sz w:val="20"/>
    </w:rPr>
  </w:style>
  <w:style w:type="character" w:styleId="ListLabel285">
    <w:name w:val="ListLabel 285"/>
    <w:qFormat/>
    <w:rPr>
      <w:sz w:val="20"/>
    </w:rPr>
  </w:style>
  <w:style w:type="character" w:styleId="ListLabel286">
    <w:name w:val="ListLabel 286"/>
    <w:qFormat/>
    <w:rPr>
      <w:sz w:val="20"/>
    </w:rPr>
  </w:style>
  <w:style w:type="character" w:styleId="ListLabel287">
    <w:name w:val="ListLabel 287"/>
    <w:qFormat/>
    <w:rPr>
      <w:sz w:val="20"/>
    </w:rPr>
  </w:style>
  <w:style w:type="character" w:styleId="ListLabel288">
    <w:name w:val="ListLabel 288"/>
    <w:qFormat/>
    <w:rPr>
      <w:sz w:val="20"/>
    </w:rPr>
  </w:style>
  <w:style w:type="character" w:styleId="ListLabel289">
    <w:name w:val="ListLabel 289"/>
    <w:qFormat/>
    <w:rPr>
      <w:rFonts w:ascii="Arial" w:hAnsi="Arial"/>
      <w:sz w:val="23"/>
    </w:rPr>
  </w:style>
  <w:style w:type="character" w:styleId="ListLabel290">
    <w:name w:val="ListLabel 290"/>
    <w:qFormat/>
    <w:rPr>
      <w:sz w:val="20"/>
    </w:rPr>
  </w:style>
  <w:style w:type="character" w:styleId="ListLabel291">
    <w:name w:val="ListLabel 291"/>
    <w:qFormat/>
    <w:rPr>
      <w:sz w:val="20"/>
    </w:rPr>
  </w:style>
  <w:style w:type="character" w:styleId="ListLabel292">
    <w:name w:val="ListLabel 292"/>
    <w:qFormat/>
    <w:rPr>
      <w:sz w:val="20"/>
    </w:rPr>
  </w:style>
  <w:style w:type="character" w:styleId="ListLabel293">
    <w:name w:val="ListLabel 293"/>
    <w:qFormat/>
    <w:rPr>
      <w:sz w:val="20"/>
    </w:rPr>
  </w:style>
  <w:style w:type="character" w:styleId="ListLabel294">
    <w:name w:val="ListLabel 294"/>
    <w:qFormat/>
    <w:rPr>
      <w:sz w:val="20"/>
    </w:rPr>
  </w:style>
  <w:style w:type="character" w:styleId="ListLabel295">
    <w:name w:val="ListLabel 295"/>
    <w:qFormat/>
    <w:rPr>
      <w:sz w:val="20"/>
    </w:rPr>
  </w:style>
  <w:style w:type="character" w:styleId="ListLabel296">
    <w:name w:val="ListLabel 296"/>
    <w:qFormat/>
    <w:rPr>
      <w:sz w:val="20"/>
    </w:rPr>
  </w:style>
  <w:style w:type="character" w:styleId="ListLabel297">
    <w:name w:val="ListLabel 297"/>
    <w:qFormat/>
    <w:rPr>
      <w:sz w:val="20"/>
    </w:rPr>
  </w:style>
  <w:style w:type="character" w:styleId="ListLabel298">
    <w:name w:val="ListLabel 298"/>
    <w:qFormat/>
    <w:rPr>
      <w:rFonts w:ascii="Arial" w:hAnsi="Arial"/>
      <w:sz w:val="23"/>
    </w:rPr>
  </w:style>
  <w:style w:type="character" w:styleId="ListLabel299">
    <w:name w:val="ListLabel 299"/>
    <w:qFormat/>
    <w:rPr>
      <w:sz w:val="20"/>
    </w:rPr>
  </w:style>
  <w:style w:type="character" w:styleId="ListLabel300">
    <w:name w:val="ListLabel 300"/>
    <w:qFormat/>
    <w:rPr>
      <w:sz w:val="20"/>
    </w:rPr>
  </w:style>
  <w:style w:type="character" w:styleId="ListLabel301">
    <w:name w:val="ListLabel 301"/>
    <w:qFormat/>
    <w:rPr>
      <w:sz w:val="20"/>
    </w:rPr>
  </w:style>
  <w:style w:type="character" w:styleId="ListLabel302">
    <w:name w:val="ListLabel 302"/>
    <w:qFormat/>
    <w:rPr>
      <w:sz w:val="20"/>
    </w:rPr>
  </w:style>
  <w:style w:type="character" w:styleId="ListLabel303">
    <w:name w:val="ListLabel 303"/>
    <w:qFormat/>
    <w:rPr>
      <w:sz w:val="20"/>
    </w:rPr>
  </w:style>
  <w:style w:type="character" w:styleId="ListLabel304">
    <w:name w:val="ListLabel 304"/>
    <w:qFormat/>
    <w:rPr>
      <w:sz w:val="20"/>
    </w:rPr>
  </w:style>
  <w:style w:type="character" w:styleId="ListLabel305">
    <w:name w:val="ListLabel 305"/>
    <w:qFormat/>
    <w:rPr>
      <w:sz w:val="20"/>
    </w:rPr>
  </w:style>
  <w:style w:type="character" w:styleId="ListLabel306">
    <w:name w:val="ListLabel 306"/>
    <w:qFormat/>
    <w:rPr>
      <w:sz w:val="20"/>
    </w:rPr>
  </w:style>
  <w:style w:type="character" w:styleId="ListLabel307">
    <w:name w:val="ListLabel 307"/>
    <w:qFormat/>
    <w:rPr>
      <w:rFonts w:ascii="Arial" w:hAnsi="Arial"/>
      <w:sz w:val="23"/>
    </w:rPr>
  </w:style>
  <w:style w:type="character" w:styleId="ListLabel308">
    <w:name w:val="ListLabel 308"/>
    <w:qFormat/>
    <w:rPr>
      <w:sz w:val="20"/>
    </w:rPr>
  </w:style>
  <w:style w:type="character" w:styleId="ListLabel309">
    <w:name w:val="ListLabel 309"/>
    <w:qFormat/>
    <w:rPr>
      <w:sz w:val="20"/>
    </w:rPr>
  </w:style>
  <w:style w:type="character" w:styleId="ListLabel310">
    <w:name w:val="ListLabel 310"/>
    <w:qFormat/>
    <w:rPr>
      <w:sz w:val="20"/>
    </w:rPr>
  </w:style>
  <w:style w:type="character" w:styleId="ListLabel311">
    <w:name w:val="ListLabel 311"/>
    <w:qFormat/>
    <w:rPr>
      <w:sz w:val="20"/>
    </w:rPr>
  </w:style>
  <w:style w:type="character" w:styleId="ListLabel312">
    <w:name w:val="ListLabel 312"/>
    <w:qFormat/>
    <w:rPr>
      <w:sz w:val="20"/>
    </w:rPr>
  </w:style>
  <w:style w:type="character" w:styleId="ListLabel313">
    <w:name w:val="ListLabel 313"/>
    <w:qFormat/>
    <w:rPr>
      <w:sz w:val="20"/>
    </w:rPr>
  </w:style>
  <w:style w:type="character" w:styleId="ListLabel314">
    <w:name w:val="ListLabel 314"/>
    <w:qFormat/>
    <w:rPr>
      <w:sz w:val="20"/>
    </w:rPr>
  </w:style>
  <w:style w:type="character" w:styleId="ListLabel315">
    <w:name w:val="ListLabel 315"/>
    <w:qFormat/>
    <w:rPr>
      <w:sz w:val="20"/>
    </w:rPr>
  </w:style>
  <w:style w:type="character" w:styleId="ListLabel316">
    <w:name w:val="ListLabel 316"/>
    <w:qFormat/>
    <w:rPr>
      <w:rFonts w:ascii="Arial" w:hAnsi="Arial"/>
      <w:sz w:val="23"/>
    </w:rPr>
  </w:style>
  <w:style w:type="character" w:styleId="ListLabel317">
    <w:name w:val="ListLabel 317"/>
    <w:qFormat/>
    <w:rPr>
      <w:sz w:val="20"/>
    </w:rPr>
  </w:style>
  <w:style w:type="character" w:styleId="ListLabel318">
    <w:name w:val="ListLabel 318"/>
    <w:qFormat/>
    <w:rPr>
      <w:sz w:val="20"/>
    </w:rPr>
  </w:style>
  <w:style w:type="character" w:styleId="ListLabel319">
    <w:name w:val="ListLabel 319"/>
    <w:qFormat/>
    <w:rPr>
      <w:sz w:val="20"/>
    </w:rPr>
  </w:style>
  <w:style w:type="character" w:styleId="ListLabel320">
    <w:name w:val="ListLabel 320"/>
    <w:qFormat/>
    <w:rPr>
      <w:sz w:val="20"/>
    </w:rPr>
  </w:style>
  <w:style w:type="character" w:styleId="ListLabel321">
    <w:name w:val="ListLabel 321"/>
    <w:qFormat/>
    <w:rPr>
      <w:sz w:val="20"/>
    </w:rPr>
  </w:style>
  <w:style w:type="character" w:styleId="ListLabel322">
    <w:name w:val="ListLabel 322"/>
    <w:qFormat/>
    <w:rPr>
      <w:sz w:val="20"/>
    </w:rPr>
  </w:style>
  <w:style w:type="character" w:styleId="ListLabel323">
    <w:name w:val="ListLabel 323"/>
    <w:qFormat/>
    <w:rPr>
      <w:sz w:val="20"/>
    </w:rPr>
  </w:style>
  <w:style w:type="character" w:styleId="ListLabel324">
    <w:name w:val="ListLabel 324"/>
    <w:qFormat/>
    <w:rPr>
      <w:sz w:val="20"/>
    </w:rPr>
  </w:style>
  <w:style w:type="character" w:styleId="ListLabel325">
    <w:name w:val="ListLabel 325"/>
    <w:qFormat/>
    <w:rPr>
      <w:rFonts w:ascii="Arial" w:hAnsi="Arial"/>
      <w:sz w:val="23"/>
    </w:rPr>
  </w:style>
  <w:style w:type="character" w:styleId="ListLabel326">
    <w:name w:val="ListLabel 326"/>
    <w:qFormat/>
    <w:rPr>
      <w:sz w:val="20"/>
    </w:rPr>
  </w:style>
  <w:style w:type="character" w:styleId="ListLabel327">
    <w:name w:val="ListLabel 327"/>
    <w:qFormat/>
    <w:rPr>
      <w:sz w:val="20"/>
    </w:rPr>
  </w:style>
  <w:style w:type="character" w:styleId="ListLabel328">
    <w:name w:val="ListLabel 328"/>
    <w:qFormat/>
    <w:rPr>
      <w:sz w:val="20"/>
    </w:rPr>
  </w:style>
  <w:style w:type="character" w:styleId="ListLabel329">
    <w:name w:val="ListLabel 329"/>
    <w:qFormat/>
    <w:rPr>
      <w:sz w:val="20"/>
    </w:rPr>
  </w:style>
  <w:style w:type="character" w:styleId="ListLabel330">
    <w:name w:val="ListLabel 330"/>
    <w:qFormat/>
    <w:rPr>
      <w:sz w:val="20"/>
    </w:rPr>
  </w:style>
  <w:style w:type="character" w:styleId="ListLabel331">
    <w:name w:val="ListLabel 331"/>
    <w:qFormat/>
    <w:rPr>
      <w:sz w:val="20"/>
    </w:rPr>
  </w:style>
  <w:style w:type="character" w:styleId="ListLabel332">
    <w:name w:val="ListLabel 332"/>
    <w:qFormat/>
    <w:rPr>
      <w:sz w:val="20"/>
    </w:rPr>
  </w:style>
  <w:style w:type="character" w:styleId="ListLabel333">
    <w:name w:val="ListLabel 333"/>
    <w:qFormat/>
    <w:rPr>
      <w:sz w:val="20"/>
    </w:rPr>
  </w:style>
  <w:style w:type="paragraph" w:styleId="Style12">
    <w:name w:val="Заголовок"/>
    <w:basedOn w:val="Normal"/>
    <w:next w:val="Style13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Style13">
    <w:name w:val="Body Text"/>
    <w:basedOn w:val="Normal"/>
    <w:pPr>
      <w:spacing w:lineRule="auto" w:line="276" w:before="0" w:after="140"/>
    </w:pPr>
    <w:rPr/>
  </w:style>
  <w:style w:type="paragraph" w:styleId="Style14">
    <w:name w:val="List"/>
    <w:basedOn w:val="Style13"/>
    <w:pPr/>
    <w:rPr>
      <w:rFonts w:cs="Lohit Devanagari"/>
    </w:rPr>
  </w:style>
  <w:style w:type="paragraph" w:styleId="Style15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6">
    <w:name w:val="Указатель"/>
    <w:basedOn w:val="Normal"/>
    <w:qFormat/>
    <w:pPr>
      <w:suppressLineNumbers/>
    </w:pPr>
    <w:rPr>
      <w:rFonts w:cs="Lohit Devanagari"/>
    </w:rPr>
  </w:style>
  <w:style w:type="paragraph" w:styleId="NormalWeb">
    <w:name w:val="Normal (Web)"/>
    <w:basedOn w:val="Normal"/>
    <w:uiPriority w:val="99"/>
    <w:semiHidden/>
    <w:unhideWhenUsed/>
    <w:qFormat/>
    <w:rsid w:val="00855836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jpe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image" Target="media/image33.jpeg"/><Relationship Id="rId35" Type="http://schemas.openxmlformats.org/officeDocument/2006/relationships/image" Target="media/image34.jpeg"/><Relationship Id="rId36" Type="http://schemas.openxmlformats.org/officeDocument/2006/relationships/image" Target="media/image35.jpeg"/><Relationship Id="rId37" Type="http://schemas.openxmlformats.org/officeDocument/2006/relationships/image" Target="media/image36.jpeg"/><Relationship Id="rId38" Type="http://schemas.openxmlformats.org/officeDocument/2006/relationships/image" Target="media/image37.jpeg"/><Relationship Id="rId39" Type="http://schemas.openxmlformats.org/officeDocument/2006/relationships/image" Target="media/image38.jpeg"/><Relationship Id="rId40" Type="http://schemas.openxmlformats.org/officeDocument/2006/relationships/image" Target="media/image39.jpeg"/><Relationship Id="rId41" Type="http://schemas.openxmlformats.org/officeDocument/2006/relationships/image" Target="media/image40.jpeg"/><Relationship Id="rId42" Type="http://schemas.openxmlformats.org/officeDocument/2006/relationships/numbering" Target="numbering.xml"/><Relationship Id="rId43" Type="http://schemas.openxmlformats.org/officeDocument/2006/relationships/fontTable" Target="fontTable.xml"/><Relationship Id="rId44" Type="http://schemas.openxmlformats.org/officeDocument/2006/relationships/settings" Target="settings.xml"/><Relationship Id="rId4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Application>LibreOffice/6.0.7.3$Linux_X86_64 LibreOffice_project/00m0$Build-3</Application>
  <Pages>17</Pages>
  <Words>3058</Words>
  <Characters>20963</Characters>
  <CharactersWithSpaces>23624</CharactersWithSpaces>
  <Paragraphs>305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2022-02-20T13:32:00Z</dcterms:created>
  <dc:creator>Ильина Екатерина Сергеевна</dc:creator>
  <dc:description/>
  <dc:language>ru-RU</dc:language>
  <cp:lastModifiedBy>Ильина Екатерина Сергеевна</cp:lastModifiedBy>
  <dcterms:modified xsi:type="dcterms:W3CDTF">2022-03-01T08:03:00Z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